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0D" w:rsidRDefault="00E978DE" w:rsidP="00FD30C1">
      <w:pPr>
        <w:tabs>
          <w:tab w:val="left" w:pos="720"/>
          <w:tab w:val="left" w:pos="936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850116" wp14:editId="7C877005">
            <wp:simplePos x="0" y="0"/>
            <wp:positionH relativeFrom="column">
              <wp:posOffset>-9525</wp:posOffset>
            </wp:positionH>
            <wp:positionV relativeFrom="paragraph">
              <wp:posOffset>-154305</wp:posOffset>
            </wp:positionV>
            <wp:extent cx="6400800" cy="822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902" cy="84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DF5">
        <w:rPr>
          <w:noProof/>
        </w:rPr>
        <w:drawing>
          <wp:anchor distT="0" distB="0" distL="114300" distR="114300" simplePos="0" relativeHeight="251659264" behindDoc="0" locked="0" layoutInCell="1" allowOverlap="1" wp14:anchorId="51079582" wp14:editId="4E2AD969">
            <wp:simplePos x="0" y="0"/>
            <wp:positionH relativeFrom="margin">
              <wp:posOffset>1880235</wp:posOffset>
            </wp:positionH>
            <wp:positionV relativeFrom="margin">
              <wp:posOffset>9718040</wp:posOffset>
            </wp:positionV>
            <wp:extent cx="4013200" cy="1143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bottom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10D" w:rsidRPr="00BD010D" w:rsidRDefault="00BD010D" w:rsidP="00BD010D"/>
    <w:p w:rsidR="00BD010D" w:rsidRPr="00BD010D" w:rsidRDefault="00BD010D" w:rsidP="00BD010D"/>
    <w:p w:rsidR="00BD010D" w:rsidRPr="00BD010D" w:rsidRDefault="00BD010D" w:rsidP="00BD010D"/>
    <w:p w:rsidR="001F0E1E" w:rsidRPr="00761DAF" w:rsidRDefault="00183459" w:rsidP="00761DAF">
      <w:pPr>
        <w:jc w:val="center"/>
        <w:rPr>
          <w:rFonts w:asciiTheme="majorHAnsi" w:hAnsiTheme="majorHAnsi"/>
          <w:color w:val="000000"/>
          <w:sz w:val="18"/>
          <w:szCs w:val="24"/>
        </w:rPr>
      </w:pPr>
      <w:r w:rsidRPr="00761DAF">
        <w:rPr>
          <w:rFonts w:asciiTheme="majorHAnsi" w:hAnsiTheme="majorHAnsi"/>
          <w:color w:val="000000"/>
          <w:sz w:val="18"/>
          <w:szCs w:val="24"/>
        </w:rPr>
        <w:t>Internal Audit</w:t>
      </w:r>
      <w:r w:rsidR="00761DAF">
        <w:rPr>
          <w:rFonts w:asciiTheme="majorHAnsi" w:hAnsiTheme="majorHAnsi"/>
          <w:color w:val="000000"/>
          <w:sz w:val="18"/>
          <w:szCs w:val="24"/>
        </w:rPr>
        <w:t>-</w:t>
      </w:r>
      <w:r w:rsidR="00BC11CD" w:rsidRPr="00761DAF">
        <w:rPr>
          <w:rFonts w:asciiTheme="majorHAnsi" w:hAnsiTheme="majorHAnsi"/>
          <w:color w:val="000000"/>
          <w:sz w:val="18"/>
          <w:szCs w:val="24"/>
        </w:rPr>
        <w:t>Mary Tillman, Director</w:t>
      </w:r>
      <w:r w:rsidR="00761DAF" w:rsidRPr="00761DAF">
        <w:rPr>
          <w:rFonts w:asciiTheme="majorHAnsi" w:hAnsiTheme="majorHAnsi"/>
          <w:color w:val="000000"/>
          <w:sz w:val="18"/>
          <w:szCs w:val="24"/>
        </w:rPr>
        <w:t xml:space="preserve"> </w:t>
      </w:r>
      <w:r w:rsidRPr="00761DAF">
        <w:rPr>
          <w:rFonts w:asciiTheme="majorHAnsi" w:hAnsiTheme="majorHAnsi"/>
          <w:color w:val="000000"/>
          <w:sz w:val="18"/>
          <w:szCs w:val="24"/>
        </w:rPr>
        <w:t>813/</w:t>
      </w:r>
      <w:r w:rsidR="00466F16" w:rsidRPr="00761DAF">
        <w:rPr>
          <w:rFonts w:asciiTheme="majorHAnsi" w:hAnsiTheme="majorHAnsi"/>
          <w:color w:val="000000"/>
          <w:sz w:val="18"/>
          <w:szCs w:val="24"/>
        </w:rPr>
        <w:t>727/352</w:t>
      </w:r>
      <w:r w:rsidR="00761DAF" w:rsidRPr="00761DAF">
        <w:rPr>
          <w:rFonts w:asciiTheme="majorHAnsi" w:hAnsiTheme="majorHAnsi"/>
          <w:color w:val="000000"/>
          <w:sz w:val="18"/>
          <w:szCs w:val="24"/>
        </w:rPr>
        <w:t xml:space="preserve"> 794-2282 Fax:</w:t>
      </w:r>
      <w:r w:rsidRPr="00761DAF">
        <w:rPr>
          <w:rFonts w:asciiTheme="majorHAnsi" w:hAnsiTheme="majorHAnsi"/>
          <w:color w:val="000000"/>
          <w:sz w:val="18"/>
          <w:szCs w:val="24"/>
        </w:rPr>
        <w:t xml:space="preserve"> 813/</w:t>
      </w:r>
      <w:r w:rsidR="00466F16" w:rsidRPr="00761DAF">
        <w:rPr>
          <w:rFonts w:asciiTheme="majorHAnsi" w:hAnsiTheme="majorHAnsi"/>
          <w:color w:val="000000"/>
          <w:sz w:val="18"/>
          <w:szCs w:val="24"/>
        </w:rPr>
        <w:t>727/352</w:t>
      </w:r>
      <w:r w:rsidRPr="00761DAF">
        <w:rPr>
          <w:rFonts w:asciiTheme="majorHAnsi" w:hAnsiTheme="majorHAnsi"/>
          <w:color w:val="000000"/>
          <w:sz w:val="18"/>
          <w:szCs w:val="24"/>
        </w:rPr>
        <w:t xml:space="preserve"> 794-2146</w:t>
      </w:r>
      <w:r w:rsidR="00FC2364">
        <w:rPr>
          <w:rFonts w:asciiTheme="majorHAnsi" w:hAnsiTheme="majorHAnsi"/>
          <w:color w:val="000000"/>
          <w:sz w:val="18"/>
          <w:szCs w:val="24"/>
        </w:rPr>
        <w:t xml:space="preserve"> </w:t>
      </w:r>
      <w:r w:rsidR="00761DAF" w:rsidRPr="00761DAF">
        <w:rPr>
          <w:rFonts w:asciiTheme="majorHAnsi" w:hAnsiTheme="majorHAnsi"/>
          <w:color w:val="000000"/>
          <w:sz w:val="18"/>
          <w:szCs w:val="24"/>
        </w:rPr>
        <w:t xml:space="preserve">e-mail: </w:t>
      </w:r>
      <w:r w:rsidR="00BC11CD" w:rsidRPr="00761DAF">
        <w:rPr>
          <w:rFonts w:asciiTheme="majorHAnsi" w:hAnsiTheme="majorHAnsi"/>
          <w:color w:val="000000"/>
          <w:sz w:val="18"/>
          <w:szCs w:val="24"/>
        </w:rPr>
        <w:t>mtillman@pasco.k12.fl.us</w:t>
      </w:r>
    </w:p>
    <w:p w:rsidR="00505B0F" w:rsidRPr="00761DAF" w:rsidRDefault="00505B0F" w:rsidP="00761DAF">
      <w:pPr>
        <w:pStyle w:val="NoSpacing"/>
        <w:rPr>
          <w:sz w:val="20"/>
        </w:rPr>
      </w:pPr>
    </w:p>
    <w:p w:rsidR="00E305AB" w:rsidRPr="00DC250B" w:rsidRDefault="00CE54B5" w:rsidP="00761DAF">
      <w:pPr>
        <w:pStyle w:val="NoSpacing"/>
        <w:jc w:val="both"/>
        <w:rPr>
          <w:rFonts w:asciiTheme="majorHAnsi" w:hAnsiTheme="majorHAnsi"/>
          <w:b/>
        </w:rPr>
      </w:pPr>
      <w:r w:rsidRPr="00DC250B">
        <w:rPr>
          <w:rFonts w:asciiTheme="majorHAnsi" w:hAnsiTheme="majorHAnsi"/>
          <w:b/>
        </w:rPr>
        <w:t>FRAUD – RED FLAGS</w:t>
      </w: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sz w:val="10"/>
        </w:rPr>
      </w:pPr>
    </w:p>
    <w:p w:rsidR="00E305AB" w:rsidRPr="00DC250B" w:rsidRDefault="00CE54B5" w:rsidP="00761DAF">
      <w:pPr>
        <w:pStyle w:val="NoSpacing"/>
        <w:jc w:val="both"/>
        <w:rPr>
          <w:rFonts w:asciiTheme="majorHAnsi" w:hAnsiTheme="majorHAnsi"/>
          <w:b/>
        </w:rPr>
      </w:pPr>
      <w:r w:rsidRPr="00DC250B">
        <w:rPr>
          <w:rFonts w:asciiTheme="majorHAnsi" w:hAnsiTheme="majorHAnsi"/>
          <w:b/>
        </w:rPr>
        <w:t>Introduction</w:t>
      </w:r>
      <w:r w:rsidR="00DC250B">
        <w:rPr>
          <w:rFonts w:asciiTheme="majorHAnsi" w:hAnsiTheme="majorHAnsi"/>
          <w:b/>
        </w:rPr>
        <w:t>:</w:t>
      </w:r>
      <w:r w:rsidRPr="00DC250B">
        <w:rPr>
          <w:rFonts w:asciiTheme="majorHAnsi" w:hAnsiTheme="majorHAnsi"/>
          <w:b/>
        </w:rPr>
        <w:t xml:space="preserve"> </w:t>
      </w:r>
      <w:r w:rsidRPr="00DC250B">
        <w:rPr>
          <w:rFonts w:asciiTheme="majorHAnsi" w:hAnsiTheme="majorHAnsi"/>
        </w:rPr>
        <w:t>Based</w:t>
      </w:r>
      <w:r w:rsidR="00E305AB" w:rsidRPr="00DC250B">
        <w:rPr>
          <w:rFonts w:asciiTheme="majorHAnsi" w:hAnsiTheme="majorHAnsi"/>
        </w:rPr>
        <w:t xml:space="preserve"> on a recent survey by the Association of Certified Fraud Examiners (ACFE), occupational fraud substantially increases organizational costs. It is a </w:t>
      </w:r>
      <w:r w:rsidR="00E305AB" w:rsidRPr="00DC250B">
        <w:rPr>
          <w:rFonts w:asciiTheme="majorHAnsi" w:hAnsiTheme="majorHAnsi"/>
          <w:b/>
          <w:bCs/>
        </w:rPr>
        <w:t xml:space="preserve">myth </w:t>
      </w:r>
      <w:r w:rsidR="00E305AB" w:rsidRPr="00DC250B">
        <w:rPr>
          <w:rFonts w:asciiTheme="majorHAnsi" w:hAnsiTheme="majorHAnsi"/>
        </w:rPr>
        <w:t xml:space="preserve">that fraud is a big scheme that should have been uncovered sooner and easy to detect. </w:t>
      </w:r>
      <w:r w:rsidR="00E305AB" w:rsidRPr="00DC250B">
        <w:rPr>
          <w:rFonts w:asciiTheme="majorHAnsi" w:hAnsiTheme="majorHAnsi"/>
          <w:b/>
          <w:bCs/>
        </w:rPr>
        <w:t>Fraud starts small and just gets bigger and bigger, until</w:t>
      </w:r>
      <w:r w:rsidR="00E305AB" w:rsidRPr="00DC250B">
        <w:rPr>
          <w:rFonts w:asciiTheme="majorHAnsi" w:hAnsiTheme="majorHAnsi"/>
        </w:rPr>
        <w:t xml:space="preserve"> </w:t>
      </w:r>
      <w:r w:rsidR="00E305AB" w:rsidRPr="00DC250B">
        <w:rPr>
          <w:rFonts w:asciiTheme="majorHAnsi" w:hAnsiTheme="majorHAnsi"/>
          <w:b/>
          <w:bCs/>
        </w:rPr>
        <w:t>something becomes noticeably different or unusual.</w:t>
      </w:r>
      <w:r w:rsidR="00E305AB" w:rsidRPr="00DC250B">
        <w:rPr>
          <w:rFonts w:asciiTheme="majorHAnsi" w:hAnsiTheme="majorHAnsi"/>
        </w:rPr>
        <w:tab/>
      </w: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sz w:val="10"/>
        </w:rPr>
      </w:pP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b/>
          <w:i/>
          <w:u w:val="single"/>
        </w:rPr>
      </w:pPr>
      <w:r w:rsidRPr="00DC250B">
        <w:rPr>
          <w:rFonts w:asciiTheme="majorHAnsi" w:hAnsiTheme="majorHAnsi"/>
          <w:b/>
          <w:i/>
          <w:u w:val="single"/>
        </w:rPr>
        <w:t>What is Fraud?</w:t>
      </w:r>
      <w:r w:rsidR="00CE54B5" w:rsidRPr="00DC250B">
        <w:rPr>
          <w:rFonts w:asciiTheme="majorHAnsi" w:hAnsiTheme="majorHAnsi"/>
          <w:b/>
          <w:i/>
        </w:rPr>
        <w:t xml:space="preserve">  </w:t>
      </w:r>
      <w:r w:rsidRPr="00DC250B">
        <w:rPr>
          <w:rFonts w:asciiTheme="majorHAnsi" w:hAnsiTheme="majorHAnsi"/>
        </w:rPr>
        <w:t>Occupational Fraud is defined by the ACFE as:</w:t>
      </w:r>
      <w:r w:rsidR="00DC250B" w:rsidRPr="00DC250B">
        <w:rPr>
          <w:rFonts w:asciiTheme="majorHAnsi" w:hAnsiTheme="majorHAnsi"/>
          <w:b/>
          <w:i/>
          <w:u w:val="single"/>
        </w:rPr>
        <w:t xml:space="preserve"> </w:t>
      </w:r>
      <w:r w:rsidRPr="00DC250B">
        <w:rPr>
          <w:rFonts w:asciiTheme="majorHAnsi" w:hAnsiTheme="majorHAnsi"/>
          <w:i/>
        </w:rPr>
        <w:t>“The use of one’s occupation for personal enrichment through the deliberate misuse of misapplication of the employing organization’s resources or assets.”</w:t>
      </w: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i/>
          <w:sz w:val="10"/>
        </w:rPr>
      </w:pP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b/>
          <w:bCs/>
        </w:rPr>
      </w:pPr>
      <w:r w:rsidRPr="00DC250B">
        <w:rPr>
          <w:rFonts w:asciiTheme="majorHAnsi" w:hAnsiTheme="majorHAnsi"/>
          <w:b/>
          <w:bCs/>
          <w:i/>
          <w:iCs/>
          <w:u w:val="single"/>
        </w:rPr>
        <w:t>What is a Red Flag?</w:t>
      </w:r>
      <w:r w:rsidR="00CE54B5" w:rsidRPr="00DC250B">
        <w:rPr>
          <w:rFonts w:asciiTheme="majorHAnsi" w:hAnsiTheme="majorHAnsi"/>
          <w:b/>
          <w:bCs/>
          <w:i/>
          <w:iCs/>
        </w:rPr>
        <w:t xml:space="preserve">  </w:t>
      </w:r>
      <w:r w:rsidRPr="00DC250B">
        <w:rPr>
          <w:rFonts w:asciiTheme="majorHAnsi" w:hAnsiTheme="majorHAnsi"/>
        </w:rPr>
        <w:t xml:space="preserve">A </w:t>
      </w:r>
      <w:r w:rsidRPr="00DC250B">
        <w:rPr>
          <w:rFonts w:asciiTheme="majorHAnsi" w:hAnsiTheme="majorHAnsi"/>
          <w:b/>
          <w:bCs/>
        </w:rPr>
        <w:t xml:space="preserve">red flag </w:t>
      </w:r>
      <w:r w:rsidRPr="00DC250B">
        <w:rPr>
          <w:rFonts w:asciiTheme="majorHAnsi" w:hAnsiTheme="majorHAnsi"/>
        </w:rPr>
        <w:t xml:space="preserve">is a set of circumstances that are unusual in nature or vary from the normal activity. </w:t>
      </w:r>
      <w:r w:rsidR="00DC250B" w:rsidRPr="00DC250B">
        <w:rPr>
          <w:rFonts w:asciiTheme="majorHAnsi" w:hAnsiTheme="majorHAnsi"/>
          <w:bCs/>
        </w:rPr>
        <w:t xml:space="preserve">Red flags are warnings that something could be or is wrong </w:t>
      </w:r>
      <w:r w:rsidRPr="00DC250B">
        <w:rPr>
          <w:rFonts w:asciiTheme="majorHAnsi" w:hAnsiTheme="majorHAnsi"/>
        </w:rPr>
        <w:t>and may need to be investigated further</w:t>
      </w:r>
      <w:r w:rsidRPr="00DC250B">
        <w:rPr>
          <w:rFonts w:asciiTheme="majorHAnsi" w:hAnsiTheme="majorHAnsi"/>
          <w:b/>
          <w:bCs/>
        </w:rPr>
        <w:t xml:space="preserve">. </w:t>
      </w:r>
      <w:r w:rsidRPr="00DC250B">
        <w:rPr>
          <w:rFonts w:asciiTheme="majorHAnsi" w:hAnsiTheme="majorHAnsi"/>
        </w:rPr>
        <w:t xml:space="preserve">Remember that </w:t>
      </w:r>
      <w:r w:rsidRPr="00DC250B">
        <w:rPr>
          <w:rFonts w:asciiTheme="majorHAnsi" w:hAnsiTheme="majorHAnsi"/>
          <w:b/>
          <w:bCs/>
        </w:rPr>
        <w:t>red</w:t>
      </w:r>
      <w:r w:rsidRPr="00DC250B">
        <w:rPr>
          <w:rFonts w:asciiTheme="majorHAnsi" w:hAnsiTheme="majorHAnsi"/>
        </w:rPr>
        <w:t xml:space="preserve"> </w:t>
      </w:r>
      <w:r w:rsidRPr="00DC250B">
        <w:rPr>
          <w:rFonts w:asciiTheme="majorHAnsi" w:hAnsiTheme="majorHAnsi"/>
          <w:b/>
          <w:bCs/>
        </w:rPr>
        <w:t xml:space="preserve">flags </w:t>
      </w:r>
      <w:r w:rsidRPr="00DC250B">
        <w:rPr>
          <w:rFonts w:asciiTheme="majorHAnsi" w:hAnsiTheme="majorHAnsi"/>
        </w:rPr>
        <w:t>do not indicate guilt or innocence but merely provide possible warning signs of fraud</w:t>
      </w:r>
      <w:r w:rsidRPr="00DC250B">
        <w:rPr>
          <w:rFonts w:asciiTheme="majorHAnsi" w:hAnsiTheme="majorHAnsi"/>
          <w:b/>
          <w:bCs/>
        </w:rPr>
        <w:t>.</w:t>
      </w:r>
      <w:r w:rsidR="00DC250B" w:rsidRPr="00DC250B">
        <w:rPr>
          <w:rFonts w:asciiTheme="majorHAnsi" w:hAnsiTheme="majorHAnsi"/>
          <w:b/>
          <w:bCs/>
        </w:rPr>
        <w:t xml:space="preserve">  </w:t>
      </w:r>
    </w:p>
    <w:p w:rsidR="00DC250B" w:rsidRPr="00DC250B" w:rsidRDefault="00DC250B" w:rsidP="00761DAF">
      <w:pPr>
        <w:pStyle w:val="NoSpacing"/>
        <w:jc w:val="both"/>
        <w:rPr>
          <w:rFonts w:asciiTheme="majorHAnsi" w:hAnsiTheme="majorHAnsi"/>
          <w:bCs/>
          <w:sz w:val="10"/>
        </w:rPr>
      </w:pPr>
    </w:p>
    <w:p w:rsidR="00E305AB" w:rsidRPr="00DC250B" w:rsidRDefault="00E305AB" w:rsidP="00761DAF">
      <w:pPr>
        <w:pStyle w:val="NoSpacing"/>
        <w:ind w:left="540" w:right="540"/>
        <w:jc w:val="both"/>
        <w:rPr>
          <w:rFonts w:asciiTheme="majorHAnsi" w:hAnsiTheme="majorHAnsi"/>
        </w:rPr>
      </w:pPr>
      <w:r w:rsidRPr="00DC250B">
        <w:rPr>
          <w:rFonts w:asciiTheme="majorHAnsi" w:hAnsiTheme="majorHAnsi"/>
          <w:b/>
          <w:bCs/>
        </w:rPr>
        <w:t>Do not ignore a red flag</w:t>
      </w:r>
      <w:r w:rsidR="00CE54B5" w:rsidRPr="00DC250B">
        <w:rPr>
          <w:rFonts w:asciiTheme="majorHAnsi" w:hAnsiTheme="majorHAnsi"/>
          <w:b/>
          <w:bCs/>
          <w:i/>
          <w:iCs/>
        </w:rPr>
        <w:t xml:space="preserve">.  </w:t>
      </w:r>
      <w:r w:rsidRPr="00DC250B">
        <w:rPr>
          <w:rFonts w:asciiTheme="majorHAnsi" w:hAnsiTheme="majorHAnsi"/>
        </w:rPr>
        <w:t xml:space="preserve">Studies of fraud cases consistently show that red flags were present, but were either not recognized or were recognized but not acted upon by anyone. </w:t>
      </w:r>
      <w:r w:rsidR="00CE54B5" w:rsidRPr="00DC250B">
        <w:rPr>
          <w:rFonts w:asciiTheme="majorHAnsi" w:hAnsiTheme="majorHAnsi"/>
        </w:rPr>
        <w:t xml:space="preserve"> If you recognize a red flag, you may report it to school</w:t>
      </w:r>
      <w:r w:rsidR="00DC250B" w:rsidRPr="00DC250B">
        <w:rPr>
          <w:rFonts w:asciiTheme="majorHAnsi" w:hAnsiTheme="majorHAnsi"/>
        </w:rPr>
        <w:t xml:space="preserve"> or district</w:t>
      </w:r>
      <w:r w:rsidR="00CE54B5" w:rsidRPr="00DC250B">
        <w:rPr>
          <w:rFonts w:asciiTheme="majorHAnsi" w:hAnsiTheme="majorHAnsi"/>
        </w:rPr>
        <w:t xml:space="preserve"> administration or the internal audit department.  If you wish to remain anonymous, you may use the Ethics Hotline.  </w:t>
      </w:r>
    </w:p>
    <w:p w:rsidR="00CE54B5" w:rsidRPr="00DC250B" w:rsidRDefault="00CE54B5" w:rsidP="00761DAF">
      <w:pPr>
        <w:pStyle w:val="NoSpacing"/>
        <w:ind w:left="540" w:right="540"/>
        <w:jc w:val="both"/>
        <w:rPr>
          <w:rFonts w:asciiTheme="majorHAnsi" w:hAnsiTheme="majorHAnsi"/>
          <w:b/>
          <w:bCs/>
          <w:i/>
          <w:iCs/>
          <w:sz w:val="10"/>
        </w:rPr>
      </w:pPr>
    </w:p>
    <w:p w:rsidR="00E305AB" w:rsidRPr="00DC250B" w:rsidRDefault="00E305AB" w:rsidP="00761DAF">
      <w:pPr>
        <w:pStyle w:val="NoSpacing"/>
        <w:ind w:left="540" w:right="540"/>
        <w:jc w:val="both"/>
        <w:rPr>
          <w:rFonts w:asciiTheme="majorHAnsi" w:hAnsiTheme="majorHAnsi"/>
          <w:b/>
          <w:bCs/>
        </w:rPr>
      </w:pPr>
      <w:r w:rsidRPr="00DC250B">
        <w:rPr>
          <w:rFonts w:asciiTheme="majorHAnsi" w:hAnsiTheme="majorHAnsi"/>
          <w:b/>
          <w:bCs/>
        </w:rPr>
        <w:t>Sometimes an error is just an error</w:t>
      </w:r>
      <w:r w:rsidR="00CE54B5" w:rsidRPr="00DC250B">
        <w:rPr>
          <w:rFonts w:asciiTheme="majorHAnsi" w:hAnsiTheme="majorHAnsi"/>
          <w:b/>
          <w:bCs/>
        </w:rPr>
        <w:t>.</w:t>
      </w:r>
      <w:r w:rsidR="00CE54B5" w:rsidRPr="00DC250B">
        <w:rPr>
          <w:rFonts w:asciiTheme="majorHAnsi" w:hAnsiTheme="majorHAnsi"/>
        </w:rPr>
        <w:t xml:space="preserve"> An appropriate person should investigate red flags,</w:t>
      </w:r>
      <w:r w:rsidRPr="00DC250B">
        <w:rPr>
          <w:rFonts w:asciiTheme="majorHAnsi" w:hAnsiTheme="majorHAnsi"/>
        </w:rPr>
        <w:t xml:space="preserve"> however, sometimes an error is just an error and no fraud has occurred. </w:t>
      </w:r>
      <w:r w:rsidR="00CE54B5" w:rsidRPr="00DC250B">
        <w:rPr>
          <w:rFonts w:asciiTheme="majorHAnsi" w:hAnsiTheme="majorHAnsi"/>
        </w:rPr>
        <w:t xml:space="preserve">In that case, an investigation does no harm and may simply identify practices that need to be corrected.  </w:t>
      </w:r>
    </w:p>
    <w:p w:rsidR="00E305AB" w:rsidRPr="00D42ABB" w:rsidRDefault="00E305AB" w:rsidP="00761DAF">
      <w:pPr>
        <w:pStyle w:val="NoSpacing"/>
        <w:jc w:val="both"/>
        <w:rPr>
          <w:rFonts w:asciiTheme="minorHAnsi" w:hAnsiTheme="minorHAnsi"/>
          <w:b/>
          <w:bCs/>
          <w:i/>
          <w:iCs/>
          <w:sz w:val="12"/>
          <w:u w:val="single"/>
        </w:rPr>
      </w:pPr>
    </w:p>
    <w:p w:rsidR="00E305AB" w:rsidRPr="00466F16" w:rsidRDefault="00E305AB" w:rsidP="00761DAF">
      <w:pPr>
        <w:pStyle w:val="NoSpacing"/>
        <w:jc w:val="both"/>
        <w:rPr>
          <w:rFonts w:asciiTheme="minorHAnsi" w:hAnsiTheme="minorHAnsi"/>
          <w:b/>
          <w:bCs/>
          <w:i/>
          <w:iCs/>
          <w:u w:val="single"/>
        </w:rPr>
      </w:pPr>
      <w:r w:rsidRPr="00466F16">
        <w:rPr>
          <w:rFonts w:asciiTheme="minorHAnsi" w:hAnsiTheme="minorHAnsi"/>
          <w:b/>
          <w:bCs/>
          <w:i/>
          <w:iCs/>
          <w:u w:val="single"/>
        </w:rPr>
        <w:t>What are the red flags that are common to most types of fraudulent activity?</w:t>
      </w:r>
    </w:p>
    <w:tbl>
      <w:tblPr>
        <w:tblW w:w="10474" w:type="dxa"/>
        <w:tblInd w:w="-5" w:type="dxa"/>
        <w:tblLook w:val="04A0" w:firstRow="1" w:lastRow="0" w:firstColumn="1" w:lastColumn="0" w:noHBand="0" w:noVBand="1"/>
      </w:tblPr>
      <w:tblGrid>
        <w:gridCol w:w="5237"/>
        <w:gridCol w:w="5237"/>
      </w:tblGrid>
      <w:tr w:rsidR="00DC250B" w:rsidRPr="00DC250B" w:rsidTr="00DC250B">
        <w:trPr>
          <w:trHeight w:val="55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Lifestyle changes: expensive cars, jewelry, homes, clothes, and/or significant personal debt and credit problems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Abnormal number of expense items, supplies, or reimbursement to the employee</w:t>
            </w:r>
          </w:p>
        </w:tc>
      </w:tr>
      <w:tr w:rsidR="00DC250B" w:rsidRPr="00DC250B" w:rsidTr="00DC250B">
        <w:trPr>
          <w:trHeight w:val="256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Refusal to take vacation or sick leave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 xml:space="preserve"> Photocopied or missing documents</w:t>
            </w:r>
          </w:p>
        </w:tc>
      </w:tr>
      <w:tr w:rsidR="00DC250B" w:rsidRPr="00DC250B" w:rsidTr="00DC250B">
        <w:trPr>
          <w:trHeight w:val="31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Managers display significant disrespect for regulatory bodies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Creditors or collectors appearing at the workplace</w:t>
            </w:r>
          </w:p>
        </w:tc>
      </w:tr>
      <w:tr w:rsidR="00DC250B" w:rsidRPr="00DC250B" w:rsidTr="00DC250B">
        <w:trPr>
          <w:trHeight w:val="256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Staff are lax or inexperienced in their duties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Easily annoyed at reasonable questioning</w:t>
            </w:r>
          </w:p>
        </w:tc>
      </w:tr>
      <w:tr w:rsidR="00DC250B" w:rsidRPr="00DC250B" w:rsidTr="00DC250B">
        <w:trPr>
          <w:trHeight w:val="25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Borrowing money from co-workers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Bragging about significant new purchases</w:t>
            </w:r>
          </w:p>
        </w:tc>
      </w:tr>
      <w:tr w:rsidR="00DC250B" w:rsidRPr="00DC250B" w:rsidTr="00DC250B">
        <w:trPr>
          <w:trHeight w:val="1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Carrying unusually large sums of money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Providing unreasonable responses to questions</w:t>
            </w:r>
          </w:p>
        </w:tc>
      </w:tr>
      <w:tr w:rsidR="00DC250B" w:rsidRPr="00DC250B" w:rsidTr="00DC250B">
        <w:trPr>
          <w:trHeight w:val="33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Rewriting records under the guise of neatness in presentation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Behavioral changes: indication of drugs, alcohol, or gambling</w:t>
            </w:r>
          </w:p>
        </w:tc>
      </w:tr>
      <w:tr w:rsidR="00DC250B" w:rsidRPr="00DC250B" w:rsidTr="00DC250B">
        <w:trPr>
          <w:trHeight w:val="256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Purchases that bypass the normal procedures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Personal or inappropriate purchases on the p-card</w:t>
            </w:r>
          </w:p>
        </w:tc>
      </w:tr>
      <w:tr w:rsidR="00DC250B" w:rsidRPr="00DC250B" w:rsidTr="00DC250B">
        <w:trPr>
          <w:trHeight w:val="25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inappropriate charges related to travel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Theft of cash from deposits</w:t>
            </w:r>
          </w:p>
        </w:tc>
      </w:tr>
      <w:tr w:rsidR="00DC250B" w:rsidRPr="00DC250B" w:rsidTr="00DC250B">
        <w:trPr>
          <w:trHeight w:val="256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Theft of inventory items, supplies or goods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B" w:rsidRPr="00DC250B" w:rsidRDefault="00DC250B" w:rsidP="00DC250B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DC250B">
              <w:rPr>
                <w:rFonts w:ascii="Calibri" w:eastAsia="Times New Roman" w:hAnsi="Calibri"/>
                <w:color w:val="000000"/>
                <w:sz w:val="20"/>
              </w:rPr>
              <w:t>Falsifying time card with time not worked</w:t>
            </w:r>
          </w:p>
        </w:tc>
      </w:tr>
    </w:tbl>
    <w:p w:rsidR="00E305AB" w:rsidRPr="00DC250B" w:rsidRDefault="00E305AB" w:rsidP="00761DAF">
      <w:pPr>
        <w:pStyle w:val="NoSpacing"/>
        <w:jc w:val="both"/>
        <w:rPr>
          <w:rFonts w:asciiTheme="minorHAnsi" w:hAnsiTheme="minorHAnsi"/>
          <w:bCs/>
          <w:iCs/>
          <w:sz w:val="10"/>
        </w:rPr>
      </w:pP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b/>
          <w:bCs/>
          <w:i/>
          <w:iCs/>
        </w:rPr>
      </w:pPr>
      <w:r w:rsidRPr="00DC250B">
        <w:rPr>
          <w:rFonts w:asciiTheme="majorHAnsi" w:hAnsiTheme="majorHAnsi"/>
          <w:b/>
          <w:bCs/>
          <w:i/>
          <w:iCs/>
        </w:rPr>
        <w:t>Fact: Researchers conclude that the most common reason employees commit fraud has to do with motivation – the more dissatisfied the employee, the more likely he or she will engage in criminal behavior.</w:t>
      </w: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b/>
          <w:bCs/>
          <w:i/>
          <w:iCs/>
          <w:sz w:val="10"/>
        </w:rPr>
      </w:pP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b/>
          <w:bCs/>
          <w:i/>
          <w:iCs/>
          <w:u w:val="single"/>
        </w:rPr>
      </w:pPr>
      <w:r w:rsidRPr="00DC250B">
        <w:rPr>
          <w:rFonts w:asciiTheme="majorHAnsi" w:hAnsiTheme="majorHAnsi"/>
          <w:b/>
          <w:bCs/>
          <w:i/>
          <w:iCs/>
          <w:u w:val="single"/>
        </w:rPr>
        <w:t>Conclusion</w:t>
      </w:r>
    </w:p>
    <w:p w:rsidR="00E305AB" w:rsidRPr="00DC250B" w:rsidRDefault="00E305AB" w:rsidP="00761DAF">
      <w:pPr>
        <w:pStyle w:val="NoSpacing"/>
        <w:jc w:val="both"/>
        <w:rPr>
          <w:rFonts w:asciiTheme="majorHAnsi" w:hAnsiTheme="majorHAnsi"/>
          <w:b/>
          <w:bCs/>
        </w:rPr>
      </w:pPr>
      <w:r w:rsidRPr="00DC250B">
        <w:rPr>
          <w:rFonts w:asciiTheme="majorHAnsi" w:hAnsiTheme="majorHAnsi"/>
          <w:b/>
          <w:bCs/>
        </w:rPr>
        <w:t>Employees who notice that red flags are ignored may mistakenly believe that it is okay to game the system or that they won’t get caught.</w:t>
      </w:r>
      <w:r w:rsidR="00DC250B" w:rsidRPr="00DC250B">
        <w:rPr>
          <w:rFonts w:asciiTheme="majorHAnsi" w:hAnsiTheme="majorHAnsi"/>
          <w:b/>
          <w:bCs/>
        </w:rPr>
        <w:t xml:space="preserve">  </w:t>
      </w:r>
      <w:r w:rsidRPr="00DC250B">
        <w:rPr>
          <w:rFonts w:asciiTheme="majorHAnsi" w:hAnsiTheme="majorHAnsi"/>
          <w:b/>
          <w:bCs/>
        </w:rPr>
        <w:t>A little fraud soon becomes a large one if left to grow.</w:t>
      </w:r>
    </w:p>
    <w:p w:rsidR="00BC34FA" w:rsidRPr="00DC250B" w:rsidRDefault="00BC34FA" w:rsidP="00761DAF">
      <w:pPr>
        <w:pStyle w:val="NoSpacing"/>
        <w:jc w:val="both"/>
        <w:rPr>
          <w:rFonts w:asciiTheme="majorHAnsi" w:hAnsiTheme="majorHAnsi"/>
        </w:rPr>
      </w:pPr>
      <w:bookmarkStart w:id="0" w:name="_GoBack"/>
      <w:bookmarkEnd w:id="0"/>
    </w:p>
    <w:sectPr w:rsidR="00BC34FA" w:rsidRPr="00DC250B" w:rsidSect="00DC250B">
      <w:headerReference w:type="default" r:id="rId9"/>
      <w:footerReference w:type="default" r:id="rId10"/>
      <w:pgSz w:w="12240" w:h="15840"/>
      <w:pgMar w:top="864" w:right="1080" w:bottom="864" w:left="108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ED" w:rsidRDefault="007A13ED" w:rsidP="003B761E">
      <w:r>
        <w:separator/>
      </w:r>
    </w:p>
  </w:endnote>
  <w:endnote w:type="continuationSeparator" w:id="0">
    <w:p w:rsidR="007A13ED" w:rsidRDefault="007A13ED" w:rsidP="003B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i/>
        <w:sz w:val="22"/>
      </w:rPr>
      <w:id w:val="-1622916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F54" w:rsidRPr="009F4589" w:rsidRDefault="009F4589">
        <w:pPr>
          <w:pStyle w:val="Footer"/>
          <w:jc w:val="right"/>
          <w:rPr>
            <w:rFonts w:asciiTheme="majorHAnsi" w:hAnsiTheme="majorHAnsi"/>
            <w:i/>
            <w:sz w:val="22"/>
          </w:rPr>
        </w:pPr>
        <w:r w:rsidRPr="009F4589">
          <w:rPr>
            <w:rFonts w:asciiTheme="majorHAnsi" w:hAnsiTheme="majorHAnsi"/>
            <w:i/>
            <w:sz w:val="22"/>
          </w:rPr>
          <w:t xml:space="preserve">Page </w:t>
        </w:r>
        <w:r w:rsidR="00B12F54" w:rsidRPr="009F4589">
          <w:rPr>
            <w:rFonts w:asciiTheme="majorHAnsi" w:hAnsiTheme="majorHAnsi"/>
            <w:i/>
            <w:sz w:val="22"/>
          </w:rPr>
          <w:fldChar w:fldCharType="begin"/>
        </w:r>
        <w:r w:rsidR="00B12F54" w:rsidRPr="009F4589">
          <w:rPr>
            <w:rFonts w:asciiTheme="majorHAnsi" w:hAnsiTheme="majorHAnsi"/>
            <w:i/>
            <w:sz w:val="22"/>
          </w:rPr>
          <w:instrText xml:space="preserve"> PAGE   \* MERGEFORMAT </w:instrText>
        </w:r>
        <w:r w:rsidR="00B12F54" w:rsidRPr="009F4589">
          <w:rPr>
            <w:rFonts w:asciiTheme="majorHAnsi" w:hAnsiTheme="majorHAnsi"/>
            <w:i/>
            <w:sz w:val="22"/>
          </w:rPr>
          <w:fldChar w:fldCharType="separate"/>
        </w:r>
        <w:r w:rsidR="00DC250B">
          <w:rPr>
            <w:rFonts w:asciiTheme="majorHAnsi" w:hAnsiTheme="majorHAnsi"/>
            <w:i/>
            <w:noProof/>
            <w:sz w:val="22"/>
          </w:rPr>
          <w:t>2</w:t>
        </w:r>
        <w:r w:rsidR="00B12F54" w:rsidRPr="009F4589">
          <w:rPr>
            <w:rFonts w:asciiTheme="majorHAnsi" w:hAnsiTheme="majorHAnsi"/>
            <w:i/>
            <w:noProof/>
            <w:sz w:val="22"/>
          </w:rPr>
          <w:fldChar w:fldCharType="end"/>
        </w:r>
        <w:r w:rsidRPr="009F4589">
          <w:rPr>
            <w:rFonts w:asciiTheme="majorHAnsi" w:hAnsiTheme="majorHAnsi"/>
            <w:i/>
            <w:noProof/>
            <w:sz w:val="22"/>
          </w:rPr>
          <w:t xml:space="preserve"> of  8</w:t>
        </w:r>
      </w:p>
    </w:sdtContent>
  </w:sdt>
  <w:p w:rsidR="00B12F54" w:rsidRDefault="00B12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ED" w:rsidRDefault="007A13ED" w:rsidP="003B761E">
      <w:r>
        <w:separator/>
      </w:r>
    </w:p>
  </w:footnote>
  <w:footnote w:type="continuationSeparator" w:id="0">
    <w:p w:rsidR="007A13ED" w:rsidRDefault="007A13ED" w:rsidP="003B7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54" w:rsidRDefault="00B12F54">
    <w:pPr>
      <w:pStyle w:val="Header"/>
    </w:pPr>
  </w:p>
  <w:p w:rsidR="009F4589" w:rsidRPr="00B55568" w:rsidRDefault="009F4589" w:rsidP="00DD28F1">
    <w:pPr>
      <w:pStyle w:val="Header"/>
      <w:tabs>
        <w:tab w:val="left" w:pos="720"/>
      </w:tabs>
      <w:ind w:left="630" w:right="540"/>
      <w:jc w:val="right"/>
      <w:rPr>
        <w:rFonts w:asciiTheme="majorHAnsi" w:hAnsiTheme="majorHAnsi"/>
        <w:i/>
        <w:sz w:val="22"/>
      </w:rPr>
    </w:pPr>
    <w:r w:rsidRPr="00B55568">
      <w:rPr>
        <w:rFonts w:asciiTheme="majorHAnsi" w:hAnsiTheme="majorHAnsi"/>
        <w:i/>
        <w:sz w:val="22"/>
      </w:rPr>
      <w:t>Review of Sunlake High School Athletic Booster Club</w:t>
    </w:r>
    <w:r w:rsidR="00DD28F1">
      <w:rPr>
        <w:rFonts w:asciiTheme="majorHAnsi" w:hAnsiTheme="majorHAnsi"/>
        <w:i/>
        <w:sz w:val="22"/>
      </w:rPr>
      <w:t>-Interim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7DE9"/>
    <w:multiLevelType w:val="hybridMultilevel"/>
    <w:tmpl w:val="7082A4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4C03E1"/>
    <w:multiLevelType w:val="hybridMultilevel"/>
    <w:tmpl w:val="FDFE82E4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BE6E79"/>
    <w:multiLevelType w:val="hybridMultilevel"/>
    <w:tmpl w:val="2AF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3F5"/>
    <w:multiLevelType w:val="hybridMultilevel"/>
    <w:tmpl w:val="C10453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6600A56"/>
    <w:multiLevelType w:val="hybridMultilevel"/>
    <w:tmpl w:val="8B3C109C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AADE8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70F"/>
    <w:multiLevelType w:val="hybridMultilevel"/>
    <w:tmpl w:val="592A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71884"/>
    <w:multiLevelType w:val="hybridMultilevel"/>
    <w:tmpl w:val="50D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CB9"/>
    <w:multiLevelType w:val="hybridMultilevel"/>
    <w:tmpl w:val="BD9A3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8552D"/>
    <w:multiLevelType w:val="hybridMultilevel"/>
    <w:tmpl w:val="E63A0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8071FF"/>
    <w:multiLevelType w:val="hybridMultilevel"/>
    <w:tmpl w:val="4CD4B90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1174D5D"/>
    <w:multiLevelType w:val="hybridMultilevel"/>
    <w:tmpl w:val="3CA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638E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33B18"/>
    <w:multiLevelType w:val="hybridMultilevel"/>
    <w:tmpl w:val="3CCA69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0C6596"/>
    <w:multiLevelType w:val="hybridMultilevel"/>
    <w:tmpl w:val="E5BC1A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75519E"/>
    <w:multiLevelType w:val="hybridMultilevel"/>
    <w:tmpl w:val="914A69C4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660EA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7604179"/>
    <w:multiLevelType w:val="hybridMultilevel"/>
    <w:tmpl w:val="DF764C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1F119AB"/>
    <w:multiLevelType w:val="hybridMultilevel"/>
    <w:tmpl w:val="E68C3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2476A9"/>
    <w:multiLevelType w:val="hybridMultilevel"/>
    <w:tmpl w:val="F9D036A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A8F32F1"/>
    <w:multiLevelType w:val="hybridMultilevel"/>
    <w:tmpl w:val="1B8C3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45207F"/>
    <w:multiLevelType w:val="hybridMultilevel"/>
    <w:tmpl w:val="A630ECD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442629D"/>
    <w:multiLevelType w:val="hybridMultilevel"/>
    <w:tmpl w:val="ECCE563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6197983"/>
    <w:multiLevelType w:val="hybridMultilevel"/>
    <w:tmpl w:val="3D18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86BE2"/>
    <w:multiLevelType w:val="hybridMultilevel"/>
    <w:tmpl w:val="B39CF8CE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21"/>
  </w:num>
  <w:num w:numId="5">
    <w:abstractNumId w:val="14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0"/>
  </w:num>
  <w:num w:numId="15">
    <w:abstractNumId w:val="7"/>
  </w:num>
  <w:num w:numId="16">
    <w:abstractNumId w:val="20"/>
  </w:num>
  <w:num w:numId="17">
    <w:abstractNumId w:val="2"/>
  </w:num>
  <w:num w:numId="18">
    <w:abstractNumId w:val="10"/>
  </w:num>
  <w:num w:numId="19">
    <w:abstractNumId w:val="1"/>
  </w:num>
  <w:num w:numId="20">
    <w:abstractNumId w:val="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F5"/>
    <w:rsid w:val="0002133B"/>
    <w:rsid w:val="00021B32"/>
    <w:rsid w:val="00022540"/>
    <w:rsid w:val="0002338D"/>
    <w:rsid w:val="00044A5B"/>
    <w:rsid w:val="00046D38"/>
    <w:rsid w:val="00075C7B"/>
    <w:rsid w:val="00080E24"/>
    <w:rsid w:val="00087AE5"/>
    <w:rsid w:val="000A29A8"/>
    <w:rsid w:val="000C221B"/>
    <w:rsid w:val="000C4411"/>
    <w:rsid w:val="000D1D2D"/>
    <w:rsid w:val="000E1CE1"/>
    <w:rsid w:val="000E1ED5"/>
    <w:rsid w:val="000E5DF5"/>
    <w:rsid w:val="000F4612"/>
    <w:rsid w:val="00105630"/>
    <w:rsid w:val="0012555E"/>
    <w:rsid w:val="00183459"/>
    <w:rsid w:val="001C0816"/>
    <w:rsid w:val="001C78F9"/>
    <w:rsid w:val="001F0E1E"/>
    <w:rsid w:val="002031D7"/>
    <w:rsid w:val="00216F91"/>
    <w:rsid w:val="00221D47"/>
    <w:rsid w:val="0024503A"/>
    <w:rsid w:val="00253984"/>
    <w:rsid w:val="00262B24"/>
    <w:rsid w:val="00264ACC"/>
    <w:rsid w:val="002A4E10"/>
    <w:rsid w:val="002B2516"/>
    <w:rsid w:val="002E2FCC"/>
    <w:rsid w:val="003132DF"/>
    <w:rsid w:val="00344681"/>
    <w:rsid w:val="00387EF2"/>
    <w:rsid w:val="003958F4"/>
    <w:rsid w:val="003B0A80"/>
    <w:rsid w:val="003B761E"/>
    <w:rsid w:val="003C2501"/>
    <w:rsid w:val="00427682"/>
    <w:rsid w:val="00437DD4"/>
    <w:rsid w:val="00450718"/>
    <w:rsid w:val="0045077B"/>
    <w:rsid w:val="0046080E"/>
    <w:rsid w:val="00465FD1"/>
    <w:rsid w:val="00466F16"/>
    <w:rsid w:val="00482B6C"/>
    <w:rsid w:val="00484C18"/>
    <w:rsid w:val="00495A99"/>
    <w:rsid w:val="004A19A0"/>
    <w:rsid w:val="004E46A9"/>
    <w:rsid w:val="00505B0F"/>
    <w:rsid w:val="00532E6A"/>
    <w:rsid w:val="00534389"/>
    <w:rsid w:val="005559E6"/>
    <w:rsid w:val="005A7304"/>
    <w:rsid w:val="00620735"/>
    <w:rsid w:val="00643C22"/>
    <w:rsid w:val="006656C7"/>
    <w:rsid w:val="00666512"/>
    <w:rsid w:val="00670A58"/>
    <w:rsid w:val="006A070F"/>
    <w:rsid w:val="006B217A"/>
    <w:rsid w:val="006B21B4"/>
    <w:rsid w:val="006E33BA"/>
    <w:rsid w:val="006F4701"/>
    <w:rsid w:val="006F482B"/>
    <w:rsid w:val="00703A90"/>
    <w:rsid w:val="007067FC"/>
    <w:rsid w:val="0073309A"/>
    <w:rsid w:val="00740A69"/>
    <w:rsid w:val="007417E9"/>
    <w:rsid w:val="00747266"/>
    <w:rsid w:val="00761DAF"/>
    <w:rsid w:val="007979A9"/>
    <w:rsid w:val="007A13ED"/>
    <w:rsid w:val="007A6E67"/>
    <w:rsid w:val="007B69CF"/>
    <w:rsid w:val="007C2371"/>
    <w:rsid w:val="007D2A54"/>
    <w:rsid w:val="00845D5F"/>
    <w:rsid w:val="0086042C"/>
    <w:rsid w:val="008755D9"/>
    <w:rsid w:val="0088549B"/>
    <w:rsid w:val="008D39F2"/>
    <w:rsid w:val="008E4D48"/>
    <w:rsid w:val="008F16E9"/>
    <w:rsid w:val="0091094E"/>
    <w:rsid w:val="00925C1B"/>
    <w:rsid w:val="00927194"/>
    <w:rsid w:val="00931BD8"/>
    <w:rsid w:val="009535E6"/>
    <w:rsid w:val="009845AD"/>
    <w:rsid w:val="00985CE7"/>
    <w:rsid w:val="009B3FFE"/>
    <w:rsid w:val="009B6752"/>
    <w:rsid w:val="009B7235"/>
    <w:rsid w:val="009D37B4"/>
    <w:rsid w:val="009E20E7"/>
    <w:rsid w:val="009E2C38"/>
    <w:rsid w:val="009F4589"/>
    <w:rsid w:val="009F7BBB"/>
    <w:rsid w:val="00A4225C"/>
    <w:rsid w:val="00A57A23"/>
    <w:rsid w:val="00A66C62"/>
    <w:rsid w:val="00A75239"/>
    <w:rsid w:val="00A853AC"/>
    <w:rsid w:val="00A97A84"/>
    <w:rsid w:val="00AA13E5"/>
    <w:rsid w:val="00AA35C5"/>
    <w:rsid w:val="00AA6671"/>
    <w:rsid w:val="00AC3312"/>
    <w:rsid w:val="00AE2B86"/>
    <w:rsid w:val="00AF427F"/>
    <w:rsid w:val="00B034CE"/>
    <w:rsid w:val="00B12F54"/>
    <w:rsid w:val="00B13C73"/>
    <w:rsid w:val="00B42939"/>
    <w:rsid w:val="00B451DA"/>
    <w:rsid w:val="00B55568"/>
    <w:rsid w:val="00B60DF6"/>
    <w:rsid w:val="00B7354F"/>
    <w:rsid w:val="00B95166"/>
    <w:rsid w:val="00BC0BD5"/>
    <w:rsid w:val="00BC11CD"/>
    <w:rsid w:val="00BC34FA"/>
    <w:rsid w:val="00BD010D"/>
    <w:rsid w:val="00BD3DF7"/>
    <w:rsid w:val="00C12C33"/>
    <w:rsid w:val="00C406BA"/>
    <w:rsid w:val="00C41F41"/>
    <w:rsid w:val="00C4472E"/>
    <w:rsid w:val="00C6053C"/>
    <w:rsid w:val="00C61527"/>
    <w:rsid w:val="00C722E2"/>
    <w:rsid w:val="00C72C32"/>
    <w:rsid w:val="00CA41CD"/>
    <w:rsid w:val="00CA4306"/>
    <w:rsid w:val="00CB0985"/>
    <w:rsid w:val="00CE184B"/>
    <w:rsid w:val="00CE205F"/>
    <w:rsid w:val="00CE54B5"/>
    <w:rsid w:val="00CE7C07"/>
    <w:rsid w:val="00D03B37"/>
    <w:rsid w:val="00D42ABB"/>
    <w:rsid w:val="00D42AFB"/>
    <w:rsid w:val="00D50D19"/>
    <w:rsid w:val="00D515A0"/>
    <w:rsid w:val="00D6088F"/>
    <w:rsid w:val="00DB420A"/>
    <w:rsid w:val="00DB7CED"/>
    <w:rsid w:val="00DC238D"/>
    <w:rsid w:val="00DC250B"/>
    <w:rsid w:val="00DD28F1"/>
    <w:rsid w:val="00DD3A9A"/>
    <w:rsid w:val="00E2579E"/>
    <w:rsid w:val="00E305AB"/>
    <w:rsid w:val="00E35FAF"/>
    <w:rsid w:val="00E37B47"/>
    <w:rsid w:val="00E64C3A"/>
    <w:rsid w:val="00E654D7"/>
    <w:rsid w:val="00E7379F"/>
    <w:rsid w:val="00E809DD"/>
    <w:rsid w:val="00E83D48"/>
    <w:rsid w:val="00E978DE"/>
    <w:rsid w:val="00EE24B2"/>
    <w:rsid w:val="00EE3D43"/>
    <w:rsid w:val="00F22449"/>
    <w:rsid w:val="00F3723C"/>
    <w:rsid w:val="00F57EC9"/>
    <w:rsid w:val="00FB2F38"/>
    <w:rsid w:val="00FB6951"/>
    <w:rsid w:val="00FC0F31"/>
    <w:rsid w:val="00FC2364"/>
    <w:rsid w:val="00FC4243"/>
    <w:rsid w:val="00FD30C1"/>
    <w:rsid w:val="00FD50E3"/>
    <w:rsid w:val="00FD7299"/>
    <w:rsid w:val="00FE0D25"/>
    <w:rsid w:val="00FE329A"/>
    <w:rsid w:val="00FE44D3"/>
    <w:rsid w:val="00FE77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DAB84FB-EA64-49AB-A610-CBDB6F33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E1"/>
    <w:pPr>
      <w:spacing w:after="0"/>
    </w:pPr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F5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F5"/>
    <w:rPr>
      <w:rFonts w:ascii="Lucida Grande" w:hAnsi="Lucida Grande" w:cs="Lucida Grande"/>
      <w:sz w:val="18"/>
      <w:szCs w:val="18"/>
    </w:rPr>
  </w:style>
  <w:style w:type="paragraph" w:customStyle="1" w:styleId="AfWFormLetter">
    <w:name w:val="AfW Form Letter"/>
    <w:basedOn w:val="Normal"/>
    <w:rsid w:val="008D39F2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B7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61E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7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61E"/>
    <w:rPr>
      <w:rFonts w:ascii="Times" w:eastAsia="Times" w:hAnsi="Times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66C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7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2540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022540"/>
    <w:pPr>
      <w:spacing w:after="0"/>
    </w:pPr>
    <w:rPr>
      <w:rFonts w:ascii="Times" w:eastAsia="Times" w:hAnsi="Times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540"/>
    <w:pPr>
      <w:spacing w:after="120" w:line="252" w:lineRule="auto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540"/>
    <w:rPr>
      <w:rFonts w:asciiTheme="majorHAnsi" w:eastAsiaTheme="majorEastAsia" w:hAnsiTheme="majorHAnsi" w:cstheme="majorBid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Smith</dc:creator>
  <cp:lastModifiedBy>Mary T. Collins</cp:lastModifiedBy>
  <cp:revision>2</cp:revision>
  <cp:lastPrinted>2016-01-15T21:24:00Z</cp:lastPrinted>
  <dcterms:created xsi:type="dcterms:W3CDTF">2017-02-13T15:04:00Z</dcterms:created>
  <dcterms:modified xsi:type="dcterms:W3CDTF">2017-02-13T15:04:00Z</dcterms:modified>
</cp:coreProperties>
</file>