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B2" w:rsidRPr="00193129" w:rsidRDefault="007315B2" w:rsidP="007315B2">
      <w:pPr>
        <w:shd w:val="clear" w:color="auto" w:fill="FFFFFF"/>
        <w:spacing w:before="100" w:beforeAutospacing="1" w:after="60" w:line="259" w:lineRule="atLeast"/>
        <w:outlineLvl w:val="1"/>
        <w:rPr>
          <w:rFonts w:ascii="Arial" w:eastAsia="Times New Roman" w:hAnsi="Arial" w:cs="Arial"/>
          <w:b/>
          <w:bCs/>
          <w:color w:val="666666"/>
          <w:sz w:val="31"/>
          <w:szCs w:val="31"/>
        </w:rPr>
      </w:pPr>
      <w:r>
        <w:rPr>
          <w:rFonts w:ascii="Arial" w:eastAsia="Times New Roman" w:hAnsi="Arial" w:cs="Arial"/>
          <w:b/>
          <w:bCs/>
          <w:color w:val="666666"/>
          <w:sz w:val="31"/>
          <w:szCs w:val="31"/>
        </w:rPr>
        <w:t xml:space="preserve">Florida </w:t>
      </w:r>
      <w:r w:rsidRPr="00193129">
        <w:rPr>
          <w:rFonts w:ascii="Arial" w:eastAsia="Times New Roman" w:hAnsi="Arial" w:cs="Arial"/>
          <w:b/>
          <w:bCs/>
          <w:color w:val="666666"/>
          <w:sz w:val="31"/>
          <w:szCs w:val="31"/>
        </w:rPr>
        <w:t>Consent Decree</w:t>
      </w:r>
    </w:p>
    <w:p w:rsidR="007315B2" w:rsidRPr="00193129" w:rsidRDefault="007315B2" w:rsidP="007315B2">
      <w:pPr>
        <w:spacing w:after="0" w:line="240" w:lineRule="auto"/>
        <w:rPr>
          <w:rFonts w:ascii="Times New Roman" w:eastAsia="Times New Roman" w:hAnsi="Times New Roman" w:cs="Times New Roman"/>
          <w:sz w:val="24"/>
          <w:szCs w:val="24"/>
        </w:rPr>
      </w:pPr>
      <w:hyperlink r:id="rId6" w:history="1">
        <w:r w:rsidRPr="00193129">
          <w:rPr>
            <w:rFonts w:ascii="Arial" w:eastAsia="Times New Roman" w:hAnsi="Arial" w:cs="Arial"/>
            <w:color w:val="0000FF"/>
            <w:u w:val="single"/>
            <w:shd w:val="clear" w:color="auto" w:fill="FFFFFF"/>
          </w:rPr>
          <w:t>League of United Latin American Citizens (LULAC) et al. v. State Board of Education Consent Decree, United States District Court for the Southern District of Florida, August 14, 1990</w:t>
        </w:r>
      </w:hyperlink>
    </w:p>
    <w:p w:rsidR="007315B2" w:rsidRPr="00193129" w:rsidRDefault="007315B2" w:rsidP="007315B2">
      <w:pPr>
        <w:numPr>
          <w:ilvl w:val="0"/>
          <w:numId w:val="1"/>
        </w:numPr>
        <w:shd w:val="clear" w:color="auto" w:fill="FFFFFF"/>
        <w:spacing w:before="60" w:after="100" w:afterAutospacing="1" w:line="259" w:lineRule="atLeast"/>
        <w:rPr>
          <w:rFonts w:ascii="Arial" w:eastAsia="Times New Roman" w:hAnsi="Arial" w:cs="Arial"/>
          <w:color w:val="000000"/>
        </w:rPr>
      </w:pPr>
      <w:hyperlink r:id="rId7" w:history="1">
        <w:proofErr w:type="spellStart"/>
        <w:r w:rsidRPr="00193129">
          <w:rPr>
            <w:rFonts w:ascii="Arial" w:eastAsia="Times New Roman" w:hAnsi="Arial" w:cs="Arial"/>
            <w:color w:val="0000FF"/>
            <w:u w:val="single"/>
          </w:rPr>
          <w:t>Versión</w:t>
        </w:r>
        <w:proofErr w:type="spellEnd"/>
        <w:r w:rsidRPr="00193129">
          <w:rPr>
            <w:rFonts w:ascii="Arial" w:eastAsia="Times New Roman" w:hAnsi="Arial" w:cs="Arial"/>
            <w:color w:val="0000FF"/>
            <w:u w:val="single"/>
          </w:rPr>
          <w:t xml:space="preserve"> en </w:t>
        </w:r>
        <w:proofErr w:type="spellStart"/>
        <w:r w:rsidRPr="00193129">
          <w:rPr>
            <w:rFonts w:ascii="Arial" w:eastAsia="Times New Roman" w:hAnsi="Arial" w:cs="Arial"/>
            <w:color w:val="0000FF"/>
            <w:u w:val="single"/>
          </w:rPr>
          <w:t>español</w:t>
        </w:r>
        <w:proofErr w:type="spellEnd"/>
        <w:r w:rsidRPr="00193129">
          <w:rPr>
            <w:rFonts w:ascii="Arial" w:eastAsia="Times New Roman" w:hAnsi="Arial" w:cs="Arial"/>
            <w:color w:val="0000FF"/>
            <w:u w:val="single"/>
          </w:rPr>
          <w:t xml:space="preserve"> del </w:t>
        </w:r>
        <w:proofErr w:type="spellStart"/>
        <w:r w:rsidRPr="00193129">
          <w:rPr>
            <w:rFonts w:ascii="Arial" w:eastAsia="Times New Roman" w:hAnsi="Arial" w:cs="Arial"/>
            <w:color w:val="0000FF"/>
            <w:u w:val="single"/>
          </w:rPr>
          <w:t>Convenio</w:t>
        </w:r>
        <w:proofErr w:type="spellEnd"/>
        <w:r w:rsidRPr="00193129">
          <w:rPr>
            <w:rFonts w:ascii="Arial" w:eastAsia="Times New Roman" w:hAnsi="Arial" w:cs="Arial"/>
            <w:color w:val="0000FF"/>
            <w:u w:val="single"/>
          </w:rPr>
          <w:t xml:space="preserve"> de </w:t>
        </w:r>
        <w:proofErr w:type="spellStart"/>
        <w:r w:rsidRPr="00193129">
          <w:rPr>
            <w:rFonts w:ascii="Arial" w:eastAsia="Times New Roman" w:hAnsi="Arial" w:cs="Arial"/>
            <w:color w:val="0000FF"/>
            <w:u w:val="single"/>
          </w:rPr>
          <w:t>Arreglo</w:t>
        </w:r>
        <w:proofErr w:type="spellEnd"/>
        <w:r w:rsidRPr="00193129">
          <w:rPr>
            <w:rFonts w:ascii="Arial" w:eastAsia="Times New Roman" w:hAnsi="Arial" w:cs="Arial"/>
            <w:color w:val="0000FF"/>
            <w:u w:val="single"/>
          </w:rPr>
          <w:t xml:space="preserve"> Judicial</w:t>
        </w:r>
      </w:hyperlink>
      <w:r w:rsidRPr="00193129">
        <w:rPr>
          <w:rFonts w:ascii="Arial" w:eastAsia="Times New Roman" w:hAnsi="Arial" w:cs="Arial"/>
          <w:color w:val="000000"/>
        </w:rPr>
        <w:t> </w:t>
      </w:r>
      <w:r w:rsidRPr="00193129">
        <w:rPr>
          <w:rFonts w:ascii="Arial" w:eastAsia="Times New Roman" w:hAnsi="Arial" w:cs="Arial"/>
          <w:color w:val="000000"/>
          <w:sz w:val="15"/>
          <w:szCs w:val="15"/>
        </w:rPr>
        <w:t>(PDF, 137KB)</w:t>
      </w:r>
    </w:p>
    <w:p w:rsidR="007315B2" w:rsidRPr="00193129" w:rsidRDefault="007315B2" w:rsidP="007315B2">
      <w:pPr>
        <w:numPr>
          <w:ilvl w:val="0"/>
          <w:numId w:val="1"/>
        </w:numPr>
        <w:shd w:val="clear" w:color="auto" w:fill="FFFFFF"/>
        <w:spacing w:before="60" w:after="100" w:afterAutospacing="1" w:line="259" w:lineRule="atLeast"/>
        <w:rPr>
          <w:rFonts w:ascii="Arial" w:eastAsia="Times New Roman" w:hAnsi="Arial" w:cs="Arial"/>
          <w:color w:val="000000"/>
        </w:rPr>
      </w:pPr>
      <w:hyperlink r:id="rId8" w:history="1">
        <w:proofErr w:type="spellStart"/>
        <w:r w:rsidRPr="00193129">
          <w:rPr>
            <w:rFonts w:ascii="Arial" w:eastAsia="Times New Roman" w:hAnsi="Arial" w:cs="Arial"/>
            <w:color w:val="0000FF"/>
            <w:u w:val="single"/>
          </w:rPr>
          <w:t>Dekrè</w:t>
        </w:r>
        <w:proofErr w:type="spellEnd"/>
        <w:r w:rsidRPr="00193129">
          <w:rPr>
            <w:rFonts w:ascii="Arial" w:eastAsia="Times New Roman" w:hAnsi="Arial" w:cs="Arial"/>
            <w:color w:val="0000FF"/>
            <w:u w:val="single"/>
          </w:rPr>
          <w:t xml:space="preserve"> </w:t>
        </w:r>
        <w:proofErr w:type="spellStart"/>
        <w:r w:rsidRPr="00193129">
          <w:rPr>
            <w:rFonts w:ascii="Arial" w:eastAsia="Times New Roman" w:hAnsi="Arial" w:cs="Arial"/>
            <w:color w:val="0000FF"/>
            <w:u w:val="single"/>
          </w:rPr>
          <w:t>Antant</w:t>
        </w:r>
        <w:proofErr w:type="spellEnd"/>
        <w:r w:rsidRPr="00193129">
          <w:rPr>
            <w:rFonts w:ascii="Arial" w:eastAsia="Times New Roman" w:hAnsi="Arial" w:cs="Arial"/>
            <w:color w:val="0000FF"/>
            <w:u w:val="single"/>
          </w:rPr>
          <w:t xml:space="preserve"> nan </w:t>
        </w:r>
        <w:proofErr w:type="spellStart"/>
        <w:r w:rsidRPr="00193129">
          <w:rPr>
            <w:rFonts w:ascii="Arial" w:eastAsia="Times New Roman" w:hAnsi="Arial" w:cs="Arial"/>
            <w:color w:val="0000FF"/>
            <w:u w:val="single"/>
          </w:rPr>
          <w:t>pwose</w:t>
        </w:r>
        <w:proofErr w:type="spellEnd"/>
        <w:r w:rsidRPr="00193129">
          <w:rPr>
            <w:rFonts w:ascii="Arial" w:eastAsia="Times New Roman" w:hAnsi="Arial" w:cs="Arial"/>
            <w:color w:val="0000FF"/>
            <w:u w:val="single"/>
          </w:rPr>
          <w:t xml:space="preserve"> LULAC </w:t>
        </w:r>
        <w:proofErr w:type="spellStart"/>
        <w:r w:rsidRPr="00193129">
          <w:rPr>
            <w:rFonts w:ascii="Arial" w:eastAsia="Times New Roman" w:hAnsi="Arial" w:cs="Arial"/>
            <w:color w:val="0000FF"/>
            <w:u w:val="single"/>
          </w:rPr>
          <w:t>elatriye</w:t>
        </w:r>
        <w:proofErr w:type="spellEnd"/>
        <w:r w:rsidRPr="00193129">
          <w:rPr>
            <w:rFonts w:ascii="Arial" w:eastAsia="Times New Roman" w:hAnsi="Arial" w:cs="Arial"/>
            <w:color w:val="0000FF"/>
            <w:u w:val="single"/>
          </w:rPr>
          <w:t xml:space="preserve"> </w:t>
        </w:r>
        <w:proofErr w:type="spellStart"/>
        <w:r w:rsidRPr="00193129">
          <w:rPr>
            <w:rFonts w:ascii="Arial" w:eastAsia="Times New Roman" w:hAnsi="Arial" w:cs="Arial"/>
            <w:color w:val="0000FF"/>
            <w:u w:val="single"/>
          </w:rPr>
          <w:t>Kont</w:t>
        </w:r>
        <w:proofErr w:type="spellEnd"/>
        <w:r w:rsidRPr="00193129">
          <w:rPr>
            <w:rFonts w:ascii="Arial" w:eastAsia="Times New Roman" w:hAnsi="Arial" w:cs="Arial"/>
            <w:color w:val="0000FF"/>
            <w:u w:val="single"/>
          </w:rPr>
          <w:t xml:space="preserve"> </w:t>
        </w:r>
        <w:proofErr w:type="spellStart"/>
        <w:r w:rsidRPr="00193129">
          <w:rPr>
            <w:rFonts w:ascii="Arial" w:eastAsia="Times New Roman" w:hAnsi="Arial" w:cs="Arial"/>
            <w:color w:val="0000FF"/>
            <w:u w:val="single"/>
          </w:rPr>
          <w:t>Gwo</w:t>
        </w:r>
        <w:proofErr w:type="spellEnd"/>
        <w:r w:rsidRPr="00193129">
          <w:rPr>
            <w:rFonts w:ascii="Arial" w:eastAsia="Times New Roman" w:hAnsi="Arial" w:cs="Arial"/>
            <w:color w:val="0000FF"/>
            <w:u w:val="single"/>
          </w:rPr>
          <w:t xml:space="preserve"> </w:t>
        </w:r>
        <w:proofErr w:type="spellStart"/>
        <w:r w:rsidRPr="00193129">
          <w:rPr>
            <w:rFonts w:ascii="Arial" w:eastAsia="Times New Roman" w:hAnsi="Arial" w:cs="Arial"/>
            <w:color w:val="0000FF"/>
            <w:u w:val="single"/>
          </w:rPr>
          <w:t>Komite</w:t>
        </w:r>
        <w:proofErr w:type="spellEnd"/>
        <w:r w:rsidRPr="00193129">
          <w:rPr>
            <w:rFonts w:ascii="Arial" w:eastAsia="Times New Roman" w:hAnsi="Arial" w:cs="Arial"/>
            <w:color w:val="0000FF"/>
            <w:u w:val="single"/>
          </w:rPr>
          <w:t xml:space="preserve"> </w:t>
        </w:r>
        <w:proofErr w:type="spellStart"/>
        <w:r w:rsidRPr="00193129">
          <w:rPr>
            <w:rFonts w:ascii="Arial" w:eastAsia="Times New Roman" w:hAnsi="Arial" w:cs="Arial"/>
            <w:color w:val="0000FF"/>
            <w:u w:val="single"/>
          </w:rPr>
          <w:t>Edikasyon</w:t>
        </w:r>
        <w:proofErr w:type="spellEnd"/>
        <w:r w:rsidRPr="00193129">
          <w:rPr>
            <w:rFonts w:ascii="Arial" w:eastAsia="Times New Roman" w:hAnsi="Arial" w:cs="Arial"/>
            <w:color w:val="0000FF"/>
            <w:u w:val="single"/>
          </w:rPr>
          <w:t xml:space="preserve"> Florid </w:t>
        </w:r>
        <w:proofErr w:type="spellStart"/>
        <w:r w:rsidRPr="00193129">
          <w:rPr>
            <w:rFonts w:ascii="Arial" w:eastAsia="Times New Roman" w:hAnsi="Arial" w:cs="Arial"/>
            <w:color w:val="0000FF"/>
            <w:u w:val="single"/>
          </w:rPr>
          <w:t>elatriye</w:t>
        </w:r>
        <w:proofErr w:type="spellEnd"/>
      </w:hyperlink>
      <w:r w:rsidRPr="00193129">
        <w:rPr>
          <w:rFonts w:ascii="Arial" w:eastAsia="Times New Roman" w:hAnsi="Arial" w:cs="Arial"/>
          <w:color w:val="000000"/>
        </w:rPr>
        <w:t> </w:t>
      </w:r>
      <w:r w:rsidRPr="00193129">
        <w:rPr>
          <w:rFonts w:ascii="Arial" w:eastAsia="Times New Roman" w:hAnsi="Arial" w:cs="Arial"/>
          <w:color w:val="000000"/>
          <w:sz w:val="15"/>
          <w:szCs w:val="15"/>
        </w:rPr>
        <w:t>(PDF, 137KB)</w:t>
      </w:r>
    </w:p>
    <w:p w:rsidR="007315B2" w:rsidRPr="00193129" w:rsidRDefault="007315B2" w:rsidP="007315B2">
      <w:pPr>
        <w:shd w:val="clear" w:color="auto" w:fill="FFFFFF"/>
        <w:spacing w:before="100" w:beforeAutospacing="1" w:after="100" w:afterAutospacing="1" w:line="259" w:lineRule="atLeast"/>
        <w:rPr>
          <w:rFonts w:ascii="Arial" w:eastAsia="Times New Roman" w:hAnsi="Arial" w:cs="Arial"/>
          <w:color w:val="000000"/>
        </w:rPr>
      </w:pPr>
      <w:r w:rsidRPr="00193129">
        <w:rPr>
          <w:rFonts w:ascii="Arial" w:eastAsia="Times New Roman" w:hAnsi="Arial" w:cs="Arial"/>
          <w:color w:val="000000"/>
        </w:rPr>
        <w:t>The Consent Decree is the state of Florida's framework for compliance with the following federal and state laws and jurisprudence regarding the education of English language learner students:</w:t>
      </w:r>
    </w:p>
    <w:p w:rsidR="007315B2" w:rsidRPr="00193129" w:rsidRDefault="007315B2" w:rsidP="007315B2">
      <w:pPr>
        <w:numPr>
          <w:ilvl w:val="0"/>
          <w:numId w:val="2"/>
        </w:numPr>
        <w:shd w:val="clear" w:color="auto" w:fill="FFFFFF"/>
        <w:spacing w:before="60" w:after="100" w:afterAutospacing="1" w:line="259" w:lineRule="atLeast"/>
        <w:rPr>
          <w:rFonts w:ascii="Arial" w:eastAsia="Times New Roman" w:hAnsi="Arial" w:cs="Arial"/>
          <w:color w:val="000000"/>
        </w:rPr>
      </w:pPr>
      <w:r w:rsidRPr="00193129">
        <w:rPr>
          <w:rFonts w:ascii="Arial" w:eastAsia="Times New Roman" w:hAnsi="Arial" w:cs="Arial"/>
          <w:color w:val="000000"/>
        </w:rPr>
        <w:t>Title VI and VII Civil Rights Act of 1964</w:t>
      </w:r>
    </w:p>
    <w:p w:rsidR="007315B2" w:rsidRPr="00193129" w:rsidRDefault="007315B2" w:rsidP="007315B2">
      <w:pPr>
        <w:numPr>
          <w:ilvl w:val="0"/>
          <w:numId w:val="2"/>
        </w:numPr>
        <w:shd w:val="clear" w:color="auto" w:fill="FFFFFF"/>
        <w:spacing w:before="60" w:after="100" w:afterAutospacing="1" w:line="259" w:lineRule="atLeast"/>
        <w:rPr>
          <w:rFonts w:ascii="Arial" w:eastAsia="Times New Roman" w:hAnsi="Arial" w:cs="Arial"/>
          <w:color w:val="000000"/>
        </w:rPr>
      </w:pPr>
      <w:r w:rsidRPr="00193129">
        <w:rPr>
          <w:rFonts w:ascii="Arial" w:eastAsia="Times New Roman" w:hAnsi="Arial" w:cs="Arial"/>
          <w:color w:val="000000"/>
        </w:rPr>
        <w:t>Office of Civil Rights Memorandum (Standards for Title VI Compliance) of May 25, 1970</w:t>
      </w:r>
    </w:p>
    <w:p w:rsidR="007315B2" w:rsidRPr="00193129" w:rsidRDefault="007315B2" w:rsidP="007315B2">
      <w:pPr>
        <w:numPr>
          <w:ilvl w:val="0"/>
          <w:numId w:val="2"/>
        </w:numPr>
        <w:shd w:val="clear" w:color="auto" w:fill="FFFFFF"/>
        <w:spacing w:before="60" w:after="100" w:afterAutospacing="1" w:line="259" w:lineRule="atLeast"/>
        <w:rPr>
          <w:rFonts w:ascii="Arial" w:eastAsia="Times New Roman" w:hAnsi="Arial" w:cs="Arial"/>
          <w:color w:val="000000"/>
        </w:rPr>
      </w:pPr>
      <w:r w:rsidRPr="00193129">
        <w:rPr>
          <w:rFonts w:ascii="Arial" w:eastAsia="Times New Roman" w:hAnsi="Arial" w:cs="Arial"/>
          <w:color w:val="000000"/>
        </w:rPr>
        <w:t>Requirements based on the Supreme Court decision in Lau v. Nichols, 1974</w:t>
      </w:r>
    </w:p>
    <w:p w:rsidR="007315B2" w:rsidRPr="00193129" w:rsidRDefault="007315B2" w:rsidP="007315B2">
      <w:pPr>
        <w:numPr>
          <w:ilvl w:val="0"/>
          <w:numId w:val="2"/>
        </w:numPr>
        <w:shd w:val="clear" w:color="auto" w:fill="FFFFFF"/>
        <w:spacing w:before="60" w:after="100" w:afterAutospacing="1" w:line="259" w:lineRule="atLeast"/>
        <w:rPr>
          <w:rFonts w:ascii="Arial" w:eastAsia="Times New Roman" w:hAnsi="Arial" w:cs="Arial"/>
          <w:color w:val="000000"/>
        </w:rPr>
      </w:pPr>
      <w:r w:rsidRPr="00193129">
        <w:rPr>
          <w:rFonts w:ascii="Arial" w:eastAsia="Times New Roman" w:hAnsi="Arial" w:cs="Arial"/>
          <w:color w:val="000000"/>
        </w:rPr>
        <w:t>Equal Education Opportunities Act of 1974</w:t>
      </w:r>
    </w:p>
    <w:p w:rsidR="007315B2" w:rsidRPr="00193129" w:rsidRDefault="007315B2" w:rsidP="007315B2">
      <w:pPr>
        <w:numPr>
          <w:ilvl w:val="0"/>
          <w:numId w:val="2"/>
        </w:numPr>
        <w:shd w:val="clear" w:color="auto" w:fill="FFFFFF"/>
        <w:spacing w:before="60" w:after="100" w:afterAutospacing="1" w:line="259" w:lineRule="atLeast"/>
        <w:rPr>
          <w:rFonts w:ascii="Arial" w:eastAsia="Times New Roman" w:hAnsi="Arial" w:cs="Arial"/>
          <w:color w:val="000000"/>
        </w:rPr>
      </w:pPr>
      <w:r w:rsidRPr="00193129">
        <w:rPr>
          <w:rFonts w:ascii="Arial" w:eastAsia="Times New Roman" w:hAnsi="Arial" w:cs="Arial"/>
          <w:color w:val="000000"/>
        </w:rPr>
        <w:t>Requirements of the Vocational Education Guidelines, 1979</w:t>
      </w:r>
    </w:p>
    <w:p w:rsidR="007315B2" w:rsidRPr="00193129" w:rsidRDefault="007315B2" w:rsidP="007315B2">
      <w:pPr>
        <w:numPr>
          <w:ilvl w:val="0"/>
          <w:numId w:val="2"/>
        </w:numPr>
        <w:shd w:val="clear" w:color="auto" w:fill="FFFFFF"/>
        <w:spacing w:before="60" w:after="100" w:afterAutospacing="1" w:line="259" w:lineRule="atLeast"/>
        <w:rPr>
          <w:rFonts w:ascii="Arial" w:eastAsia="Times New Roman" w:hAnsi="Arial" w:cs="Arial"/>
          <w:color w:val="000000"/>
        </w:rPr>
      </w:pPr>
      <w:r w:rsidRPr="00193129">
        <w:rPr>
          <w:rFonts w:ascii="Arial" w:eastAsia="Times New Roman" w:hAnsi="Arial" w:cs="Arial"/>
          <w:color w:val="000000"/>
        </w:rPr>
        <w:t xml:space="preserve">Requirements based on the Fifth Circuit court decision in </w:t>
      </w:r>
      <w:proofErr w:type="spellStart"/>
      <w:r w:rsidRPr="00193129">
        <w:rPr>
          <w:rFonts w:ascii="Arial" w:eastAsia="Times New Roman" w:hAnsi="Arial" w:cs="Arial"/>
          <w:color w:val="000000"/>
        </w:rPr>
        <w:t>Castañeda</w:t>
      </w:r>
      <w:proofErr w:type="spellEnd"/>
      <w:r w:rsidRPr="00193129">
        <w:rPr>
          <w:rFonts w:ascii="Arial" w:eastAsia="Times New Roman" w:hAnsi="Arial" w:cs="Arial"/>
          <w:color w:val="000000"/>
        </w:rPr>
        <w:t xml:space="preserve"> v. Pickard, 1981</w:t>
      </w:r>
    </w:p>
    <w:p w:rsidR="007315B2" w:rsidRPr="00193129" w:rsidRDefault="007315B2" w:rsidP="007315B2">
      <w:pPr>
        <w:numPr>
          <w:ilvl w:val="0"/>
          <w:numId w:val="2"/>
        </w:numPr>
        <w:shd w:val="clear" w:color="auto" w:fill="FFFFFF"/>
        <w:spacing w:before="60" w:after="100" w:afterAutospacing="1" w:line="259" w:lineRule="atLeast"/>
        <w:rPr>
          <w:rFonts w:ascii="Arial" w:eastAsia="Times New Roman" w:hAnsi="Arial" w:cs="Arial"/>
          <w:color w:val="000000"/>
        </w:rPr>
      </w:pPr>
      <w:r w:rsidRPr="00193129">
        <w:rPr>
          <w:rFonts w:ascii="Arial" w:eastAsia="Times New Roman" w:hAnsi="Arial" w:cs="Arial"/>
          <w:color w:val="000000"/>
        </w:rPr>
        <w:t xml:space="preserve">Requirements based on the Supreme Court decision in </w:t>
      </w:r>
      <w:proofErr w:type="spellStart"/>
      <w:r w:rsidRPr="00193129">
        <w:rPr>
          <w:rFonts w:ascii="Arial" w:eastAsia="Times New Roman" w:hAnsi="Arial" w:cs="Arial"/>
          <w:color w:val="000000"/>
        </w:rPr>
        <w:t>Plyler</w:t>
      </w:r>
      <w:proofErr w:type="spellEnd"/>
      <w:r w:rsidRPr="00193129">
        <w:rPr>
          <w:rFonts w:ascii="Arial" w:eastAsia="Times New Roman" w:hAnsi="Arial" w:cs="Arial"/>
          <w:color w:val="000000"/>
        </w:rPr>
        <w:t xml:space="preserve"> v. Doe, 1982</w:t>
      </w:r>
    </w:p>
    <w:p w:rsidR="007315B2" w:rsidRPr="00193129" w:rsidRDefault="007315B2" w:rsidP="007315B2">
      <w:pPr>
        <w:numPr>
          <w:ilvl w:val="0"/>
          <w:numId w:val="2"/>
        </w:numPr>
        <w:shd w:val="clear" w:color="auto" w:fill="FFFFFF"/>
        <w:spacing w:before="60" w:after="100" w:afterAutospacing="1" w:line="259" w:lineRule="atLeast"/>
        <w:rPr>
          <w:rFonts w:ascii="Arial" w:eastAsia="Times New Roman" w:hAnsi="Arial" w:cs="Arial"/>
          <w:color w:val="000000"/>
        </w:rPr>
      </w:pPr>
      <w:r w:rsidRPr="00193129">
        <w:rPr>
          <w:rFonts w:ascii="Arial" w:eastAsia="Times New Roman" w:hAnsi="Arial" w:cs="Arial"/>
          <w:color w:val="000000"/>
        </w:rPr>
        <w:t>Americans with Disabilities Act (PL 94-142)</w:t>
      </w:r>
    </w:p>
    <w:p w:rsidR="007315B2" w:rsidRPr="00193129" w:rsidRDefault="007315B2" w:rsidP="007315B2">
      <w:pPr>
        <w:numPr>
          <w:ilvl w:val="0"/>
          <w:numId w:val="2"/>
        </w:numPr>
        <w:shd w:val="clear" w:color="auto" w:fill="FFFFFF"/>
        <w:spacing w:before="60" w:after="100" w:afterAutospacing="1" w:line="259" w:lineRule="atLeast"/>
        <w:rPr>
          <w:rFonts w:ascii="Arial" w:eastAsia="Times New Roman" w:hAnsi="Arial" w:cs="Arial"/>
          <w:color w:val="000000"/>
        </w:rPr>
      </w:pPr>
      <w:r w:rsidRPr="00193129">
        <w:rPr>
          <w:rFonts w:ascii="Arial" w:eastAsia="Times New Roman" w:hAnsi="Arial" w:cs="Arial"/>
          <w:color w:val="000000"/>
        </w:rPr>
        <w:t>Florida Education Equity Act, 1984</w:t>
      </w:r>
    </w:p>
    <w:p w:rsidR="007315B2" w:rsidRPr="00193129" w:rsidRDefault="007315B2" w:rsidP="007315B2">
      <w:pPr>
        <w:numPr>
          <w:ilvl w:val="0"/>
          <w:numId w:val="2"/>
        </w:numPr>
        <w:shd w:val="clear" w:color="auto" w:fill="FFFFFF"/>
        <w:spacing w:before="60" w:after="100" w:afterAutospacing="1" w:line="259" w:lineRule="atLeast"/>
        <w:rPr>
          <w:rFonts w:ascii="Arial" w:eastAsia="Times New Roman" w:hAnsi="Arial" w:cs="Arial"/>
          <w:color w:val="000000"/>
        </w:rPr>
      </w:pPr>
      <w:r w:rsidRPr="00193129">
        <w:rPr>
          <w:rFonts w:ascii="Arial" w:eastAsia="Times New Roman" w:hAnsi="Arial" w:cs="Arial"/>
          <w:color w:val="000000"/>
        </w:rPr>
        <w:t>Section 504 of the Rehabilitation Act of 1973</w:t>
      </w:r>
    </w:p>
    <w:p w:rsidR="007315B2" w:rsidRPr="00193129" w:rsidRDefault="007315B2" w:rsidP="007315B2">
      <w:pPr>
        <w:shd w:val="clear" w:color="auto" w:fill="FFFFFF"/>
        <w:spacing w:before="100" w:beforeAutospacing="1" w:after="100" w:afterAutospacing="1" w:line="259" w:lineRule="atLeast"/>
        <w:rPr>
          <w:rFonts w:ascii="Arial" w:eastAsia="Times New Roman" w:hAnsi="Arial" w:cs="Arial"/>
          <w:color w:val="000000"/>
        </w:rPr>
      </w:pPr>
      <w:r w:rsidRPr="00193129">
        <w:rPr>
          <w:rFonts w:ascii="Arial" w:eastAsia="Times New Roman" w:hAnsi="Arial" w:cs="Arial"/>
          <w:color w:val="000000"/>
        </w:rPr>
        <w:t>Florida's authority for the implementation of the Consent Decree is found in </w:t>
      </w:r>
      <w:hyperlink r:id="rId9" w:tooltip="external link" w:history="1">
        <w:r w:rsidRPr="00193129">
          <w:rPr>
            <w:rFonts w:ascii="Arial" w:eastAsia="Times New Roman" w:hAnsi="Arial" w:cs="Arial"/>
            <w:color w:val="0000FF"/>
            <w:u w:val="single"/>
          </w:rPr>
          <w:t>Section 1003.56, F.S, English Language Instruction for Limited English Proficient Students</w:t>
        </w:r>
      </w:hyperlink>
      <w:r w:rsidRPr="00193129">
        <w:rPr>
          <w:rFonts w:ascii="Arial" w:eastAsia="Times New Roman" w:hAnsi="Arial" w:cs="Arial"/>
          <w:color w:val="000000"/>
        </w:rPr>
        <w:t xml:space="preserve"> and Rules 6A-6.0900 to 6A-6.0909, F.A.C., </w:t>
      </w:r>
      <w:proofErr w:type="gramStart"/>
      <w:r w:rsidRPr="00193129">
        <w:rPr>
          <w:rFonts w:ascii="Arial" w:eastAsia="Times New Roman" w:hAnsi="Arial" w:cs="Arial"/>
          <w:color w:val="000000"/>
        </w:rPr>
        <w:t>Programs</w:t>
      </w:r>
      <w:proofErr w:type="gramEnd"/>
      <w:r w:rsidRPr="00193129">
        <w:rPr>
          <w:rFonts w:ascii="Arial" w:eastAsia="Times New Roman" w:hAnsi="Arial" w:cs="Arial"/>
          <w:color w:val="000000"/>
        </w:rPr>
        <w:t xml:space="preserve"> for Limited English Proficient Students.</w:t>
      </w:r>
    </w:p>
    <w:p w:rsidR="007315B2" w:rsidRPr="00193129" w:rsidRDefault="007315B2" w:rsidP="007315B2">
      <w:pPr>
        <w:shd w:val="clear" w:color="auto" w:fill="FFFFFF"/>
        <w:spacing w:before="100" w:beforeAutospacing="1" w:after="100" w:afterAutospacing="1" w:line="259" w:lineRule="atLeast"/>
        <w:rPr>
          <w:rFonts w:ascii="Arial" w:eastAsia="Times New Roman" w:hAnsi="Arial" w:cs="Arial"/>
          <w:color w:val="000000"/>
        </w:rPr>
      </w:pPr>
      <w:r w:rsidRPr="00193129">
        <w:rPr>
          <w:rFonts w:ascii="Arial" w:eastAsia="Times New Roman" w:hAnsi="Arial" w:cs="Arial"/>
          <w:color w:val="000000"/>
        </w:rPr>
        <w:t>The Consent Decree addresses the civil rights of ELL students, foremost among those their right to equal access to all education programs. In addressing these rights, the Consent Decree provides a structure that ensures the delivery of the comprehensible instruction to which ELL students are entitled.</w:t>
      </w:r>
    </w:p>
    <w:p w:rsidR="007315B2" w:rsidRPr="00193129" w:rsidRDefault="007315B2" w:rsidP="007315B2">
      <w:pPr>
        <w:shd w:val="clear" w:color="auto" w:fill="FFFFFF"/>
        <w:spacing w:before="100" w:beforeAutospacing="1" w:after="100" w:afterAutospacing="1" w:line="259" w:lineRule="atLeast"/>
        <w:rPr>
          <w:rFonts w:ascii="Arial" w:eastAsia="Times New Roman" w:hAnsi="Arial" w:cs="Arial"/>
          <w:color w:val="000000"/>
        </w:rPr>
      </w:pPr>
      <w:hyperlink r:id="rId10" w:anchor="one" w:history="1">
        <w:r w:rsidRPr="00193129">
          <w:rPr>
            <w:rFonts w:ascii="Arial" w:eastAsia="Times New Roman" w:hAnsi="Arial" w:cs="Arial"/>
            <w:color w:val="0000FF"/>
            <w:u w:val="single"/>
          </w:rPr>
          <w:t>Section I: Identification and Assessment</w:t>
        </w:r>
      </w:hyperlink>
      <w:r w:rsidRPr="00193129">
        <w:rPr>
          <w:rFonts w:ascii="Arial" w:eastAsia="Times New Roman" w:hAnsi="Arial" w:cs="Arial"/>
          <w:color w:val="000000"/>
        </w:rPr>
        <w:t> </w:t>
      </w:r>
      <w:r w:rsidRPr="00193129">
        <w:rPr>
          <w:rFonts w:ascii="Arial" w:eastAsia="Times New Roman" w:hAnsi="Arial" w:cs="Arial"/>
          <w:color w:val="000000"/>
        </w:rPr>
        <w:br/>
        <w:t>Synopsis: All students with limited English proficiency must be properly identified and assessed to ensure the provision of appropriate services. The Consent Decree details the procedures for placement of students in the English for Speakers of Other Languages (ESOL) program, their exit from the program, and the monitoring of students who have been exited.</w:t>
      </w:r>
    </w:p>
    <w:p w:rsidR="007315B2" w:rsidRPr="00193129" w:rsidRDefault="007315B2" w:rsidP="007315B2">
      <w:pPr>
        <w:shd w:val="clear" w:color="auto" w:fill="FFFFFF"/>
        <w:spacing w:before="100" w:beforeAutospacing="1" w:after="100" w:afterAutospacing="1" w:line="259" w:lineRule="atLeast"/>
        <w:rPr>
          <w:rFonts w:ascii="Arial" w:eastAsia="Times New Roman" w:hAnsi="Arial" w:cs="Arial"/>
          <w:color w:val="000000"/>
        </w:rPr>
      </w:pPr>
      <w:hyperlink r:id="rId11" w:anchor="two" w:history="1">
        <w:r w:rsidRPr="00193129">
          <w:rPr>
            <w:rFonts w:ascii="Arial" w:eastAsia="Times New Roman" w:hAnsi="Arial" w:cs="Arial"/>
            <w:color w:val="0000FF"/>
            <w:u w:val="single"/>
          </w:rPr>
          <w:t>Section II: Equal Access to Appropriate Programming</w:t>
        </w:r>
      </w:hyperlink>
      <w:r w:rsidRPr="00193129">
        <w:rPr>
          <w:rFonts w:ascii="Arial" w:eastAsia="Times New Roman" w:hAnsi="Arial" w:cs="Arial"/>
          <w:color w:val="000000"/>
        </w:rPr>
        <w:t> </w:t>
      </w:r>
      <w:r w:rsidRPr="00193129">
        <w:rPr>
          <w:rFonts w:ascii="Arial" w:eastAsia="Times New Roman" w:hAnsi="Arial" w:cs="Arial"/>
          <w:color w:val="000000"/>
        </w:rPr>
        <w:br/>
        <w:t xml:space="preserve">Synopsis: All ELL students enrolled in Florida public schools are entitled to programming, which is appropriate to their level of English proficiency, their level of academic achievement, and any special needs they may have. ELL students shall have equal access to appropriate English language instruction, as well as instruction in basic </w:t>
      </w:r>
      <w:r w:rsidRPr="00193129">
        <w:rPr>
          <w:rFonts w:ascii="Arial" w:eastAsia="Times New Roman" w:hAnsi="Arial" w:cs="Arial"/>
          <w:color w:val="000000"/>
        </w:rPr>
        <w:lastRenderedPageBreak/>
        <w:t>subject areas, which is understandable to the students given their level of English proficiency, and equal and comparable in amount, scope, sequence and quality to that provided to English language learner (or non-ELL) students. </w:t>
      </w:r>
    </w:p>
    <w:p w:rsidR="007315B2" w:rsidRPr="00193129" w:rsidRDefault="007315B2" w:rsidP="007315B2">
      <w:pPr>
        <w:shd w:val="clear" w:color="auto" w:fill="FFFFFF"/>
        <w:spacing w:before="100" w:beforeAutospacing="1" w:after="100" w:afterAutospacing="1" w:line="259" w:lineRule="atLeast"/>
        <w:rPr>
          <w:rFonts w:ascii="Arial" w:eastAsia="Times New Roman" w:hAnsi="Arial" w:cs="Arial"/>
          <w:color w:val="000000"/>
        </w:rPr>
      </w:pPr>
      <w:hyperlink r:id="rId12" w:anchor="three" w:history="1">
        <w:r w:rsidRPr="00193129">
          <w:rPr>
            <w:rFonts w:ascii="Arial" w:eastAsia="Times New Roman" w:hAnsi="Arial" w:cs="Arial"/>
            <w:color w:val="0000FF"/>
            <w:u w:val="single"/>
          </w:rPr>
          <w:t>Section III: Equal Access to Appropriate Categorical and Other Programs for ELL Students</w:t>
        </w:r>
      </w:hyperlink>
      <w:r w:rsidRPr="00193129">
        <w:rPr>
          <w:rFonts w:ascii="Arial" w:eastAsia="Times New Roman" w:hAnsi="Arial" w:cs="Arial"/>
          <w:color w:val="000000"/>
        </w:rPr>
        <w:br/>
      </w:r>
      <w:proofErr w:type="spellStart"/>
      <w:r w:rsidRPr="00193129">
        <w:rPr>
          <w:rFonts w:ascii="Arial" w:eastAsia="Times New Roman" w:hAnsi="Arial" w:cs="Arial"/>
          <w:color w:val="000000"/>
        </w:rPr>
        <w:t>Synopsis</w:t>
      </w:r>
      <w:proofErr w:type="gramStart"/>
      <w:r w:rsidRPr="00193129">
        <w:rPr>
          <w:rFonts w:ascii="Arial" w:eastAsia="Times New Roman" w:hAnsi="Arial" w:cs="Arial"/>
          <w:color w:val="000000"/>
        </w:rPr>
        <w:t>:ELL</w:t>
      </w:r>
      <w:proofErr w:type="spellEnd"/>
      <w:proofErr w:type="gramEnd"/>
      <w:r w:rsidRPr="00193129">
        <w:rPr>
          <w:rFonts w:ascii="Arial" w:eastAsia="Times New Roman" w:hAnsi="Arial" w:cs="Arial"/>
          <w:color w:val="000000"/>
        </w:rPr>
        <w:t xml:space="preserve"> students are entitled to equal access to all programs appropriate to their academic needs, such as compensatory, exceptional, adult, vocational or early childhood education, as well as dropout prevention and other support services, without regard to their level of English proficiency.</w:t>
      </w:r>
    </w:p>
    <w:p w:rsidR="007315B2" w:rsidRPr="00193129" w:rsidRDefault="007315B2" w:rsidP="007315B2">
      <w:pPr>
        <w:shd w:val="clear" w:color="auto" w:fill="FFFFFF"/>
        <w:spacing w:before="100" w:beforeAutospacing="1" w:after="100" w:afterAutospacing="1" w:line="259" w:lineRule="atLeast"/>
        <w:rPr>
          <w:rFonts w:ascii="Arial" w:eastAsia="Times New Roman" w:hAnsi="Arial" w:cs="Arial"/>
          <w:color w:val="000000"/>
        </w:rPr>
      </w:pPr>
      <w:hyperlink r:id="rId13" w:anchor="four" w:history="1">
        <w:r w:rsidRPr="00193129">
          <w:rPr>
            <w:rFonts w:ascii="Arial" w:eastAsia="Times New Roman" w:hAnsi="Arial" w:cs="Arial"/>
            <w:color w:val="0000FF"/>
            <w:u w:val="single"/>
          </w:rPr>
          <w:t>Section IV: Personnel</w:t>
        </w:r>
      </w:hyperlink>
      <w:r w:rsidRPr="00193129">
        <w:rPr>
          <w:rFonts w:ascii="Arial" w:eastAsia="Times New Roman" w:hAnsi="Arial" w:cs="Arial"/>
          <w:color w:val="000000"/>
        </w:rPr>
        <w:t> </w:t>
      </w:r>
      <w:r w:rsidRPr="00193129">
        <w:rPr>
          <w:rFonts w:ascii="Arial" w:eastAsia="Times New Roman" w:hAnsi="Arial" w:cs="Arial"/>
          <w:color w:val="000000"/>
        </w:rPr>
        <w:br/>
        <w:t xml:space="preserve">Synopsis: This section details the certificate coverage and </w:t>
      </w:r>
      <w:proofErr w:type="spellStart"/>
      <w:r w:rsidRPr="00193129">
        <w:rPr>
          <w:rFonts w:ascii="Arial" w:eastAsia="Times New Roman" w:hAnsi="Arial" w:cs="Arial"/>
          <w:color w:val="000000"/>
        </w:rPr>
        <w:t>inservice</w:t>
      </w:r>
      <w:proofErr w:type="spellEnd"/>
      <w:r w:rsidRPr="00193129">
        <w:rPr>
          <w:rFonts w:ascii="Arial" w:eastAsia="Times New Roman" w:hAnsi="Arial" w:cs="Arial"/>
          <w:color w:val="000000"/>
        </w:rPr>
        <w:t xml:space="preserve"> training teachers must have in order to be qualified to instruct ESOL students. Teachers may obtain the necessary training through university course work or through school district provided </w:t>
      </w:r>
      <w:proofErr w:type="spellStart"/>
      <w:r w:rsidRPr="00193129">
        <w:rPr>
          <w:rFonts w:ascii="Arial" w:eastAsia="Times New Roman" w:hAnsi="Arial" w:cs="Arial"/>
          <w:color w:val="000000"/>
        </w:rPr>
        <w:t>inservice</w:t>
      </w:r>
      <w:proofErr w:type="spellEnd"/>
      <w:r w:rsidRPr="00193129">
        <w:rPr>
          <w:rFonts w:ascii="Arial" w:eastAsia="Times New Roman" w:hAnsi="Arial" w:cs="Arial"/>
          <w:color w:val="000000"/>
        </w:rPr>
        <w:t xml:space="preserve"> training. The Consent Decree details specific requirements for ESOL certification and </w:t>
      </w:r>
      <w:proofErr w:type="spellStart"/>
      <w:r w:rsidRPr="00193129">
        <w:rPr>
          <w:rFonts w:ascii="Arial" w:eastAsia="Times New Roman" w:hAnsi="Arial" w:cs="Arial"/>
          <w:color w:val="000000"/>
        </w:rPr>
        <w:t>inservice</w:t>
      </w:r>
      <w:proofErr w:type="spellEnd"/>
      <w:r w:rsidRPr="00193129">
        <w:rPr>
          <w:rFonts w:ascii="Arial" w:eastAsia="Times New Roman" w:hAnsi="Arial" w:cs="Arial"/>
          <w:color w:val="000000"/>
        </w:rPr>
        <w:t xml:space="preserve"> training and sets standards for personnel delivering ESOL instruction.</w:t>
      </w:r>
    </w:p>
    <w:p w:rsidR="007315B2" w:rsidRPr="00193129" w:rsidRDefault="007315B2" w:rsidP="007315B2">
      <w:pPr>
        <w:shd w:val="clear" w:color="auto" w:fill="FFFFFF"/>
        <w:spacing w:before="100" w:beforeAutospacing="1" w:after="100" w:afterAutospacing="1" w:line="259" w:lineRule="atLeast"/>
        <w:rPr>
          <w:rFonts w:ascii="Arial" w:eastAsia="Times New Roman" w:hAnsi="Arial" w:cs="Arial"/>
          <w:color w:val="000000"/>
        </w:rPr>
      </w:pPr>
      <w:hyperlink r:id="rId14" w:anchor="five" w:history="1">
        <w:r w:rsidRPr="00193129">
          <w:rPr>
            <w:rFonts w:ascii="Arial" w:eastAsia="Times New Roman" w:hAnsi="Arial" w:cs="Arial"/>
            <w:color w:val="0000FF"/>
            <w:u w:val="single"/>
          </w:rPr>
          <w:t>Section V: Monitoring Issues</w:t>
        </w:r>
      </w:hyperlink>
      <w:r w:rsidRPr="00193129">
        <w:rPr>
          <w:rFonts w:ascii="Arial" w:eastAsia="Times New Roman" w:hAnsi="Arial" w:cs="Arial"/>
          <w:color w:val="000000"/>
        </w:rPr>
        <w:t> </w:t>
      </w:r>
      <w:r w:rsidRPr="00193129">
        <w:rPr>
          <w:rFonts w:ascii="Arial" w:eastAsia="Times New Roman" w:hAnsi="Arial" w:cs="Arial"/>
          <w:color w:val="000000"/>
        </w:rPr>
        <w:br/>
        <w:t>Synopsis: The Florida Department of Education is charged with the monitoring of local school districts to ensure compliance with the provisions of the Consent Decree pursuant to federal and state law and regulations including Section 229.565, Florida Statutes (Educational Evaluation Procedures) and Section 228.2001, Florida Statues (Florida Educational Equity Act). This monitoring is carried out by the </w:t>
      </w:r>
      <w:hyperlink r:id="rId15" w:history="1">
        <w:r w:rsidRPr="00193129">
          <w:rPr>
            <w:rFonts w:ascii="Arial" w:eastAsia="Times New Roman" w:hAnsi="Arial" w:cs="Arial"/>
            <w:color w:val="0000FF"/>
            <w:u w:val="single"/>
          </w:rPr>
          <w:t>Office of Student Achievement through Language Acquisition (SALA),</w:t>
        </w:r>
      </w:hyperlink>
      <w:r w:rsidRPr="00193129">
        <w:rPr>
          <w:rFonts w:ascii="Arial" w:eastAsia="Times New Roman" w:hAnsi="Arial" w:cs="Arial"/>
          <w:color w:val="000000"/>
        </w:rPr>
        <w:t xml:space="preserve"> Division of Public Schools, </w:t>
      </w:r>
      <w:proofErr w:type="gramStart"/>
      <w:r w:rsidRPr="00193129">
        <w:rPr>
          <w:rFonts w:ascii="Arial" w:eastAsia="Times New Roman" w:hAnsi="Arial" w:cs="Arial"/>
          <w:color w:val="000000"/>
        </w:rPr>
        <w:t>Florida</w:t>
      </w:r>
      <w:proofErr w:type="gramEnd"/>
      <w:r w:rsidRPr="00193129">
        <w:rPr>
          <w:rFonts w:ascii="Arial" w:eastAsia="Times New Roman" w:hAnsi="Arial" w:cs="Arial"/>
          <w:color w:val="000000"/>
        </w:rPr>
        <w:t xml:space="preserve"> Department of Education.</w:t>
      </w:r>
    </w:p>
    <w:p w:rsidR="007315B2" w:rsidRPr="00385D68" w:rsidRDefault="007315B2" w:rsidP="007315B2">
      <w:pPr>
        <w:shd w:val="clear" w:color="auto" w:fill="FFFFFF"/>
        <w:spacing w:before="100" w:beforeAutospacing="1" w:after="100" w:afterAutospacing="1" w:line="259" w:lineRule="atLeast"/>
        <w:rPr>
          <w:rFonts w:ascii="Arial" w:eastAsia="Times New Roman" w:hAnsi="Arial" w:cs="Arial"/>
          <w:color w:val="000000"/>
        </w:rPr>
      </w:pPr>
      <w:hyperlink r:id="rId16" w:anchor="six" w:history="1">
        <w:r w:rsidRPr="00193129">
          <w:rPr>
            <w:rFonts w:ascii="Arial" w:eastAsia="Times New Roman" w:hAnsi="Arial" w:cs="Arial"/>
            <w:color w:val="0000FF"/>
            <w:u w:val="single"/>
          </w:rPr>
          <w:t>Section VI: Outcome Measures</w:t>
        </w:r>
      </w:hyperlink>
      <w:r w:rsidRPr="00193129">
        <w:rPr>
          <w:rFonts w:ascii="Arial" w:eastAsia="Times New Roman" w:hAnsi="Arial" w:cs="Arial"/>
          <w:color w:val="000000"/>
        </w:rPr>
        <w:t> </w:t>
      </w:r>
      <w:r w:rsidRPr="00193129">
        <w:rPr>
          <w:rFonts w:ascii="Arial" w:eastAsia="Times New Roman" w:hAnsi="Arial" w:cs="Arial"/>
          <w:color w:val="000000"/>
        </w:rPr>
        <w:br/>
        <w:t>Synopsis: The Florida Department of Education is required to develop an evaluation system to address equal access and program effectiveness. This evaluation system is to collect and analyze data regarding the progress of ELL students and include comparisons between the LEP population and the non-ELL population regarding retention rates, graduation rates, dropout rates, grade point averages and state assessment scores.</w:t>
      </w:r>
    </w:p>
    <w:p w:rsidR="000B771F" w:rsidRDefault="000B771F">
      <w:bookmarkStart w:id="0" w:name="_GoBack"/>
      <w:bookmarkEnd w:id="0"/>
    </w:p>
    <w:sectPr w:rsidR="000B771F" w:rsidSect="000B77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67030"/>
    <w:multiLevelType w:val="multilevel"/>
    <w:tmpl w:val="7D18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8D74F8"/>
    <w:multiLevelType w:val="multilevel"/>
    <w:tmpl w:val="AE9882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B2"/>
    <w:rsid w:val="000B771F"/>
    <w:rsid w:val="00731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DB8B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5B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5B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ldoe.org/aala/lulac.asp" TargetMode="External"/><Relationship Id="rId12" Type="http://schemas.openxmlformats.org/officeDocument/2006/relationships/hyperlink" Target="http://www.fldoe.org/aala/lulac.asp" TargetMode="External"/><Relationship Id="rId13" Type="http://schemas.openxmlformats.org/officeDocument/2006/relationships/hyperlink" Target="http://www.fldoe.org/aala/lulac.asp" TargetMode="External"/><Relationship Id="rId14" Type="http://schemas.openxmlformats.org/officeDocument/2006/relationships/hyperlink" Target="http://www.fldoe.org/aala/lulac.asp" TargetMode="External"/><Relationship Id="rId15" Type="http://schemas.openxmlformats.org/officeDocument/2006/relationships/hyperlink" Target="http://www.fldoe.org/aala/default.asp" TargetMode="External"/><Relationship Id="rId16" Type="http://schemas.openxmlformats.org/officeDocument/2006/relationships/hyperlink" Target="http://www.fldoe.org/aala/lulac.asp"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ldoe.org/aala/lulac.asp" TargetMode="External"/><Relationship Id="rId7" Type="http://schemas.openxmlformats.org/officeDocument/2006/relationships/hyperlink" Target="http://www.fldoe.org/aala/pdf/spcd.pdf" TargetMode="External"/><Relationship Id="rId8" Type="http://schemas.openxmlformats.org/officeDocument/2006/relationships/hyperlink" Target="http://www.fldoe.org/aala/pdf/hccd.pdf" TargetMode="External"/><Relationship Id="rId9" Type="http://schemas.openxmlformats.org/officeDocument/2006/relationships/hyperlink" Target="http://www.flsenate.gov/Statutes/index.cfm?mode=View%20Statutes&amp;SubMenu=1&amp;App_mode=Display_Statute&amp;Search_String=&amp;URL=CH1003/Sec56.HTM" TargetMode="External"/><Relationship Id="rId10" Type="http://schemas.openxmlformats.org/officeDocument/2006/relationships/hyperlink" Target="http://www.fldoe.org/aala/lula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4558</Characters>
  <Application>Microsoft Macintosh Word</Application>
  <DocSecurity>0</DocSecurity>
  <Lines>37</Lines>
  <Paragraphs>10</Paragraphs>
  <ScaleCrop>false</ScaleCrop>
  <Company>District School Board of Pasco County</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Grace Sabella</dc:creator>
  <cp:keywords/>
  <dc:description/>
  <cp:lastModifiedBy>Mary Grace Sabella</cp:lastModifiedBy>
  <cp:revision>1</cp:revision>
  <dcterms:created xsi:type="dcterms:W3CDTF">2015-03-05T03:43:00Z</dcterms:created>
  <dcterms:modified xsi:type="dcterms:W3CDTF">2015-03-05T03:43:00Z</dcterms:modified>
</cp:coreProperties>
</file>